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AF22" w14:textId="43D54EBA" w:rsidR="00622012" w:rsidRPr="00417A3C" w:rsidRDefault="008D0ABF" w:rsidP="005D4C07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7A3C">
        <w:rPr>
          <w:rFonts w:ascii="Times New Roman" w:hAnsi="Times New Roman" w:cs="Times New Roman"/>
          <w:b/>
          <w:bCs/>
          <w:sz w:val="28"/>
          <w:szCs w:val="28"/>
        </w:rPr>
        <w:t>ГЛАВА 1</w:t>
      </w:r>
      <w:r w:rsidR="006408A7" w:rsidRPr="00417A3C">
        <w:rPr>
          <w:rFonts w:ascii="Times New Roman" w:hAnsi="Times New Roman" w:cs="Times New Roman"/>
          <w:b/>
          <w:bCs/>
          <w:sz w:val="28"/>
          <w:szCs w:val="28"/>
        </w:rPr>
        <w:t xml:space="preserve"> СОВРЕМЕННОЕ СОСТОЯНИЕ МЕТОДОВ ДИАГНОСТИКИ И ПРОГНОЗИРОВАНИЯ РЕСУРСА ТЯГОВЫХ АККУМУЛЯТОРНЫХ БАТАРЕЙ</w:t>
      </w:r>
    </w:p>
    <w:p w14:paraId="0307F880" w14:textId="77777777" w:rsidR="00417A3C" w:rsidRDefault="00417A3C" w:rsidP="00417A3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6D0A2A" w14:textId="74C86F35" w:rsidR="00417A3C" w:rsidRDefault="005D4C07" w:rsidP="005D4C0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D4C07">
        <w:rPr>
          <w:rFonts w:ascii="Times New Roman" w:hAnsi="Times New Roman" w:cs="Times New Roman"/>
          <w:b/>
          <w:bCs/>
          <w:sz w:val="28"/>
          <w:szCs w:val="28"/>
        </w:rPr>
        <w:t>1.1 Тяговые аккумуляторные батареи электротранспорта как элемент электротехнического комплекса</w:t>
      </w:r>
    </w:p>
    <w:p w14:paraId="05F53ABE" w14:textId="68D07CE6" w:rsidR="005D4C07" w:rsidRDefault="005D4C07" w:rsidP="005D4C0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35FF3C" w14:textId="46CF6DD4" w:rsidR="005D4C07" w:rsidRPr="00AC2665" w:rsidRDefault="00C9288B" w:rsidP="005D4C0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2665">
        <w:rPr>
          <w:rFonts w:ascii="Times New Roman" w:hAnsi="Times New Roman" w:cs="Times New Roman"/>
          <w:b/>
          <w:bCs/>
          <w:sz w:val="28"/>
          <w:szCs w:val="28"/>
        </w:rPr>
        <w:t>1.1.1 Роль аккумуляторной батареи в структуре электротранспортной системы</w:t>
      </w:r>
    </w:p>
    <w:p w14:paraId="2835695B" w14:textId="61AB92B7" w:rsidR="00C9288B" w:rsidRDefault="00E43C14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C14">
        <w:rPr>
          <w:rFonts w:ascii="Times New Roman" w:hAnsi="Times New Roman" w:cs="Times New Roman"/>
          <w:sz w:val="28"/>
          <w:szCs w:val="28"/>
        </w:rPr>
        <w:t>Современный электрический транспорт представляет собой сложный электротехнический комплекс, включающий систему накопления энергии, силовую электронику, тяговые электродвигатели и системы управления. Центральным элементом данной системы является тяговая аккумуляторная батарея (ТАБ), которая выполняет функцию основного источника энергии.</w:t>
      </w:r>
    </w:p>
    <w:p w14:paraId="22F702A4" w14:textId="0F923167" w:rsidR="00C81E17" w:rsidRDefault="00E43C14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C14">
        <w:rPr>
          <w:rFonts w:ascii="Times New Roman" w:hAnsi="Times New Roman" w:cs="Times New Roman"/>
          <w:sz w:val="28"/>
          <w:szCs w:val="28"/>
        </w:rPr>
        <w:t xml:space="preserve">С точки зрения системной инженерии электротранспортная система может быть представлена в виде взаимосвязанной структуры энергетических подсистем, в которой аккумуляторная батарея выполняет роль </w:t>
      </w:r>
      <w:r w:rsidRPr="00BF73BF">
        <w:rPr>
          <w:rFonts w:ascii="Times New Roman" w:hAnsi="Times New Roman" w:cs="Times New Roman"/>
          <w:sz w:val="28"/>
          <w:szCs w:val="28"/>
          <w:highlight w:val="yellow"/>
        </w:rPr>
        <w:t>первичного источника</w:t>
      </w:r>
      <w:r w:rsidRPr="00E43C14">
        <w:rPr>
          <w:rFonts w:ascii="Times New Roman" w:hAnsi="Times New Roman" w:cs="Times New Roman"/>
          <w:sz w:val="28"/>
          <w:szCs w:val="28"/>
        </w:rPr>
        <w:t xml:space="preserve"> электрической энергии.</w:t>
      </w:r>
    </w:p>
    <w:p w14:paraId="56D23797" w14:textId="573530E8" w:rsidR="00BF73BF" w:rsidRDefault="005A5465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5465">
        <w:rPr>
          <w:rFonts w:ascii="Times New Roman" w:hAnsi="Times New Roman" w:cs="Times New Roman"/>
          <w:sz w:val="28"/>
          <w:szCs w:val="28"/>
        </w:rPr>
        <w:t>Ниже представлена упрощённая структурная схема энергетической системы электрического транспорта.</w:t>
      </w:r>
    </w:p>
    <w:p w14:paraId="4A0EBEA9" w14:textId="26AE9BB0" w:rsidR="005A5465" w:rsidRDefault="000B7C06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5E3DAE" wp14:editId="1DE4F931">
            <wp:extent cx="4714875" cy="3752850"/>
            <wp:effectExtent l="0" t="0" r="9525" b="0"/>
            <wp:docPr id="91912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73DA1" w14:textId="2F1ACE8D" w:rsidR="000B7C06" w:rsidRDefault="000B7C06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7C06">
        <w:rPr>
          <w:rFonts w:ascii="Times New Roman" w:hAnsi="Times New Roman" w:cs="Times New Roman"/>
          <w:sz w:val="28"/>
          <w:szCs w:val="28"/>
        </w:rPr>
        <w:lastRenderedPageBreak/>
        <w:t>Рисунок 1.1 — Структура энергетического контура электротранспортной системы, включающая тяговую аккумуляторную батарею, силовой преобразователь, тяговый электродвигатель и систему рекуперации энергии</w:t>
      </w:r>
    </w:p>
    <w:p w14:paraId="6364678A" w14:textId="1A8764E4" w:rsidR="000B7C06" w:rsidRDefault="003D3343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343">
        <w:rPr>
          <w:rFonts w:ascii="Times New Roman" w:hAnsi="Times New Roman" w:cs="Times New Roman"/>
          <w:sz w:val="28"/>
          <w:szCs w:val="28"/>
        </w:rPr>
        <w:t>Аккумуляторная батарея является центральным элементом энергетической системы. Она взаимодействует с силовыми преобразовательными устройствами, которые обеспечивают преобразование постоянного напряжения батареи в переменное напряжение, необходимое для питания тяговых электродвигателей. В режиме рекуперации энергия торможения возвращается обратно в аккумуляторную систему.</w:t>
      </w:r>
    </w:p>
    <w:p w14:paraId="338896CF" w14:textId="445D7505" w:rsidR="00155F3E" w:rsidRPr="00D665BB" w:rsidRDefault="00155F3E" w:rsidP="005D4C0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5BB">
        <w:rPr>
          <w:rFonts w:ascii="Times New Roman" w:hAnsi="Times New Roman" w:cs="Times New Roman"/>
          <w:b/>
          <w:bCs/>
          <w:sz w:val="28"/>
          <w:szCs w:val="28"/>
        </w:rPr>
        <w:t>1.1.2 Динамические режимы эксплуатации тяговых батарей</w:t>
      </w:r>
    </w:p>
    <w:p w14:paraId="6A1021E7" w14:textId="414FEA93" w:rsidR="00155F3E" w:rsidRDefault="004574AA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74AA">
        <w:rPr>
          <w:rFonts w:ascii="Times New Roman" w:hAnsi="Times New Roman" w:cs="Times New Roman"/>
          <w:sz w:val="28"/>
          <w:szCs w:val="28"/>
        </w:rPr>
        <w:t>Одной из ключевых особенностей тяговых аккумуляторных батарей является работа в условиях резко нестационарных нагрузок. В отличие от стационарных систем хранения энергии, батареи электротранспорта испытывают значительные колебания тока и мощности, связанные с режимами ускорения, торможения и движения транспортного средства.</w:t>
      </w:r>
    </w:p>
    <w:p w14:paraId="3CBB963D" w14:textId="26A0D529" w:rsidR="004574AA" w:rsidRDefault="004574AA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74AA">
        <w:rPr>
          <w:rFonts w:ascii="Times New Roman" w:hAnsi="Times New Roman" w:cs="Times New Roman"/>
          <w:sz w:val="28"/>
          <w:szCs w:val="28"/>
        </w:rPr>
        <w:t>Типичный профиль тяговой нагрузки представлен на рисунке ниже.</w:t>
      </w:r>
    </w:p>
    <w:p w14:paraId="6A099DF0" w14:textId="6644A18A" w:rsidR="004574AA" w:rsidRDefault="00174602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AE0C8C" wp14:editId="13A86A0B">
            <wp:extent cx="5335270" cy="4150360"/>
            <wp:effectExtent l="0" t="0" r="0" b="2540"/>
            <wp:docPr id="20885383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70E3" w14:textId="47B4DAA5" w:rsidR="00174602" w:rsidRDefault="00850128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128">
        <w:rPr>
          <w:rFonts w:ascii="Times New Roman" w:hAnsi="Times New Roman" w:cs="Times New Roman"/>
          <w:sz w:val="28"/>
          <w:szCs w:val="28"/>
        </w:rPr>
        <w:t>Рисунок 1.2 — Пример динамического профиля тока тяговой аккумуляторной батареи, возникающего при движении электротранспортного средства</w:t>
      </w:r>
    </w:p>
    <w:p w14:paraId="1BB24ECE" w14:textId="19E2A1EB" w:rsidR="00850128" w:rsidRDefault="00077A4F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A4F">
        <w:rPr>
          <w:rFonts w:ascii="Times New Roman" w:hAnsi="Times New Roman" w:cs="Times New Roman"/>
          <w:sz w:val="28"/>
          <w:szCs w:val="28"/>
        </w:rPr>
        <w:lastRenderedPageBreak/>
        <w:t>Как видно из рисунка, ток батареи изменяется во времени и может включать как положительные (разряд), так и отрицательные (рекуперация) значения.</w:t>
      </w:r>
    </w:p>
    <w:p w14:paraId="53D417F2" w14:textId="7B176E6F" w:rsidR="00077A4F" w:rsidRDefault="00077A4F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A4F">
        <w:rPr>
          <w:rFonts w:ascii="Times New Roman" w:hAnsi="Times New Roman" w:cs="Times New Roman"/>
          <w:sz w:val="28"/>
          <w:szCs w:val="28"/>
        </w:rPr>
        <w:t>Нестационарный характер нагрузки можно описать функцией:</w:t>
      </w:r>
    </w:p>
    <w:p w14:paraId="7825D5C4" w14:textId="1DD96DCE" w:rsidR="00077A4F" w:rsidRDefault="002009DB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09DB">
        <w:rPr>
          <w:rFonts w:ascii="Times New Roman" w:hAnsi="Times New Roman" w:cs="Times New Roman"/>
          <w:position w:val="-12"/>
          <w:sz w:val="28"/>
          <w:szCs w:val="28"/>
        </w:rPr>
        <w:object w:dxaOrig="1900" w:dyaOrig="360" w14:anchorId="5202B2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95.15pt;height:18.15pt" o:ole="">
            <v:imagedata r:id="rId8" o:title=""/>
          </v:shape>
          <o:OLEObject Type="Embed" ProgID="Equation.DSMT4" ShapeID="_x0000_i1055" DrawAspect="Content" ObjectID="_1834574244" r:id="rId9"/>
        </w:object>
      </w:r>
    </w:p>
    <w:p w14:paraId="3A890512" w14:textId="710FD918" w:rsidR="002009DB" w:rsidRDefault="002009DB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47313FB0" w14:textId="20AB1B06" w:rsidR="002009DB" w:rsidRDefault="002009DB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D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2009D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tr</w:t>
      </w:r>
      <w:r w:rsidRPr="002009DB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2009DB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009D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2009D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тяговая составляющая тока;</w:t>
      </w:r>
    </w:p>
    <w:p w14:paraId="51AC174C" w14:textId="6FE7E0DC" w:rsidR="002009DB" w:rsidRDefault="002009DB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09DB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2009DB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rec</w:t>
      </w:r>
      <w:r w:rsidRPr="002009DB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2009DB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2009DB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2009D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составляющая </w:t>
      </w:r>
      <w:r>
        <w:rPr>
          <w:rFonts w:ascii="Times New Roman" w:hAnsi="Times New Roman" w:cs="Times New Roman"/>
          <w:sz w:val="28"/>
          <w:szCs w:val="28"/>
        </w:rPr>
        <w:t>тока рекуперации.</w:t>
      </w:r>
    </w:p>
    <w:p w14:paraId="79FB2144" w14:textId="7BC695C1" w:rsidR="002009DB" w:rsidRDefault="00EF5F41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F41">
        <w:rPr>
          <w:rFonts w:ascii="Times New Roman" w:hAnsi="Times New Roman" w:cs="Times New Roman"/>
          <w:sz w:val="28"/>
          <w:szCs w:val="28"/>
        </w:rPr>
        <w:t>Динамический режим эксплуатации оказывает существенное влияние на процессы деградации аккумуляторной системы.</w:t>
      </w:r>
    </w:p>
    <w:p w14:paraId="29E7BCAF" w14:textId="77777777" w:rsidR="00EF5F41" w:rsidRDefault="00EF5F41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07CDE6" w14:textId="700D96D5" w:rsidR="00471B7F" w:rsidRPr="00471B7F" w:rsidRDefault="00471B7F" w:rsidP="005D4C0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1B7F">
        <w:rPr>
          <w:rFonts w:ascii="Times New Roman" w:hAnsi="Times New Roman" w:cs="Times New Roman"/>
          <w:b/>
          <w:bCs/>
          <w:sz w:val="28"/>
          <w:szCs w:val="28"/>
        </w:rPr>
        <w:t>1.1.3 Электрохимическая природа аккумуляторных систем</w:t>
      </w:r>
    </w:p>
    <w:p w14:paraId="0EAE8E43" w14:textId="0AE6D57E" w:rsidR="00471B7F" w:rsidRDefault="00A85137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137">
        <w:rPr>
          <w:rFonts w:ascii="Times New Roman" w:hAnsi="Times New Roman" w:cs="Times New Roman"/>
          <w:sz w:val="28"/>
          <w:szCs w:val="28"/>
        </w:rPr>
        <w:t>Работа аккумуляторных батарей основана на электрохимических реакциях интеркаляции ионов лития или натрия в структуру электродных материалов.</w:t>
      </w:r>
    </w:p>
    <w:p w14:paraId="587E8950" w14:textId="3DB0247E" w:rsidR="006A42BC" w:rsidRDefault="006A42BC" w:rsidP="005D4C0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2BC">
        <w:rPr>
          <w:rFonts w:ascii="Times New Roman" w:hAnsi="Times New Roman" w:cs="Times New Roman"/>
          <w:sz w:val="28"/>
          <w:szCs w:val="28"/>
        </w:rPr>
        <w:t>Фундаментальные процессы, определяющие работу аккумуляторов, описываются рядом физических законов:</w:t>
      </w:r>
    </w:p>
    <w:p w14:paraId="0A7C3D78" w14:textId="6F313352" w:rsidR="006A42BC" w:rsidRDefault="008213A9" w:rsidP="008213A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3A9">
        <w:rPr>
          <w:rFonts w:ascii="Times New Roman" w:hAnsi="Times New Roman" w:cs="Times New Roman"/>
          <w:sz w:val="28"/>
          <w:szCs w:val="28"/>
        </w:rPr>
        <w:t>уравнение Нернста (термодинамика электрохимических систем)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575836E" w14:textId="4D8AC155" w:rsidR="008213A9" w:rsidRDefault="008213A9" w:rsidP="008213A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3A9">
        <w:rPr>
          <w:rFonts w:ascii="Times New Roman" w:hAnsi="Times New Roman" w:cs="Times New Roman"/>
          <w:sz w:val="28"/>
          <w:szCs w:val="28"/>
        </w:rPr>
        <w:t>уравнение Батлера–Фольмера (кинетика электрохимических реакций)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D0D8128" w14:textId="5F27AD1F" w:rsidR="008213A9" w:rsidRDefault="008213A9" w:rsidP="008213A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3A9">
        <w:rPr>
          <w:rFonts w:ascii="Times New Roman" w:hAnsi="Times New Roman" w:cs="Times New Roman"/>
          <w:sz w:val="28"/>
          <w:szCs w:val="28"/>
        </w:rPr>
        <w:t>законы диффузии Фика (массообмен)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F1051E" w14:textId="102976E6" w:rsidR="008213A9" w:rsidRDefault="008213A9" w:rsidP="008213A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3A9">
        <w:rPr>
          <w:rFonts w:ascii="Times New Roman" w:hAnsi="Times New Roman" w:cs="Times New Roman"/>
          <w:sz w:val="28"/>
          <w:szCs w:val="28"/>
        </w:rPr>
        <w:t>закон Аррениуса (температурная зависимость реакций)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C7EC59" w14:textId="375FFF18" w:rsidR="008213A9" w:rsidRDefault="008213A9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3A9">
        <w:rPr>
          <w:rFonts w:ascii="Times New Roman" w:hAnsi="Times New Roman" w:cs="Times New Roman"/>
          <w:sz w:val="28"/>
          <w:szCs w:val="28"/>
        </w:rPr>
        <w:t>Равновесный потенциал электрохимической системы определяется уравнением Нернста:</w:t>
      </w:r>
    </w:p>
    <w:p w14:paraId="7D66FBEE" w14:textId="24C5CC0D" w:rsidR="008213A9" w:rsidRDefault="00DE51CB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51CB">
        <w:rPr>
          <w:rFonts w:ascii="Times New Roman" w:hAnsi="Times New Roman" w:cs="Times New Roman"/>
          <w:position w:val="-32"/>
          <w:sz w:val="28"/>
          <w:szCs w:val="28"/>
        </w:rPr>
        <w:object w:dxaOrig="2200" w:dyaOrig="760" w14:anchorId="3E4FB221">
          <v:shape id="_x0000_i1058" type="#_x0000_t75" style="width:110.2pt;height:38.2pt" o:ole="">
            <v:imagedata r:id="rId10" o:title=""/>
          </v:shape>
          <o:OLEObject Type="Embed" ProgID="Equation.DSMT4" ShapeID="_x0000_i1058" DrawAspect="Content" ObjectID="_1834574245" r:id="rId11"/>
        </w:object>
      </w:r>
    </w:p>
    <w:p w14:paraId="37D4261D" w14:textId="4249FB46" w:rsidR="00DE51CB" w:rsidRDefault="00DE51CB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593CD299" w14:textId="6547B914" w:rsidR="00DE51CB" w:rsidRDefault="00DE51CB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1CB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потенциал электрода;</w:t>
      </w:r>
    </w:p>
    <w:p w14:paraId="4D57CC2A" w14:textId="49AE7323" w:rsidR="00DE51CB" w:rsidRDefault="00DE51CB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1CB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DE51CB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стандартный потенциал;</w:t>
      </w:r>
    </w:p>
    <w:p w14:paraId="11A5A1F4" w14:textId="6CD07927" w:rsidR="00DE51CB" w:rsidRDefault="00DE51CB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1CB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универсальная газовая постоянная;</w:t>
      </w:r>
    </w:p>
    <w:p w14:paraId="58645CBE" w14:textId="66B2B0C4" w:rsidR="00DE51CB" w:rsidRDefault="00DE51CB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51CB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постоянная фарадея.</w:t>
      </w:r>
    </w:p>
    <w:p w14:paraId="62792888" w14:textId="77777777" w:rsidR="0070099F" w:rsidRDefault="0070099F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F1D2D7" w14:textId="0A39B248" w:rsidR="00DE51CB" w:rsidRDefault="0070099F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99F">
        <w:rPr>
          <w:rFonts w:ascii="Times New Roman" w:hAnsi="Times New Roman" w:cs="Times New Roman"/>
          <w:sz w:val="28"/>
          <w:szCs w:val="28"/>
        </w:rPr>
        <w:t>Данное уравнение выводится из фундаментального соотношения между электрическим и химическим потенциалами вещества:</w:t>
      </w:r>
    </w:p>
    <w:p w14:paraId="1B8BC392" w14:textId="778A3D61" w:rsidR="002012FD" w:rsidRDefault="00467422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7422">
        <w:rPr>
          <w:rFonts w:ascii="Times New Roman" w:hAnsi="Times New Roman" w:cs="Times New Roman"/>
          <w:position w:val="-10"/>
          <w:sz w:val="28"/>
          <w:szCs w:val="28"/>
        </w:rPr>
        <w:object w:dxaOrig="1780" w:dyaOrig="360" w14:anchorId="263288DF">
          <v:shape id="_x0000_i1061" type="#_x0000_t75" style="width:88.9pt;height:18.15pt" o:ole="">
            <v:imagedata r:id="rId12" o:title=""/>
          </v:shape>
          <o:OLEObject Type="Embed" ProgID="Equation.DSMT4" ShapeID="_x0000_i1061" DrawAspect="Content" ObjectID="_1834574246" r:id="rId13"/>
        </w:object>
      </w:r>
    </w:p>
    <w:p w14:paraId="78B3E309" w14:textId="06A0BB82" w:rsidR="00467422" w:rsidRPr="005927FE" w:rsidRDefault="005927FE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927FE">
        <w:rPr>
          <w:rFonts w:ascii="Times New Roman" w:hAnsi="Times New Roman" w:cs="Times New Roman"/>
          <w:sz w:val="28"/>
          <w:szCs w:val="28"/>
          <w:highlight w:val="yellow"/>
        </w:rPr>
        <w:t>, где</w:t>
      </w:r>
    </w:p>
    <w:p w14:paraId="20197220" w14:textId="6F193741" w:rsidR="005927FE" w:rsidRPr="005927FE" w:rsidRDefault="005927FE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E6428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µ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 xml:space="preserve"> - 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>электрохимический потенциал иона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>(Дж/моль);</w:t>
      </w:r>
    </w:p>
    <w:p w14:paraId="375E10B4" w14:textId="07EB8A2B" w:rsidR="005927FE" w:rsidRDefault="005927FE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428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µ</w:t>
      </w:r>
      <w:r w:rsidRPr="007E6428">
        <w:rPr>
          <w:rFonts w:ascii="Times New Roman" w:hAnsi="Times New Roman" w:cs="Times New Roman"/>
          <w:i/>
          <w:iCs/>
          <w:sz w:val="28"/>
          <w:szCs w:val="28"/>
          <w:highlight w:val="yellow"/>
          <w:vertAlign w:val="superscript"/>
        </w:rPr>
        <w:t>0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 xml:space="preserve"> - 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>химический потенциал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>иона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>(Дж/моль)</w:t>
      </w:r>
      <w:r w:rsidRPr="005927FE">
        <w:rPr>
          <w:rFonts w:ascii="Times New Roman" w:hAnsi="Times New Roman" w:cs="Times New Roman"/>
          <w:sz w:val="28"/>
          <w:szCs w:val="28"/>
          <w:highlight w:val="yellow"/>
        </w:rPr>
        <w:t>;</w:t>
      </w:r>
    </w:p>
    <w:p w14:paraId="5B7C99F1" w14:textId="1A199FE2" w:rsidR="005927FE" w:rsidRPr="007E6428" w:rsidRDefault="007E6428" w:rsidP="008213A9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642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1.1.4 Кинетика электрохимических процессов</w:t>
      </w:r>
    </w:p>
    <w:p w14:paraId="6D1D4E8F" w14:textId="77777777" w:rsidR="007E6428" w:rsidRDefault="007E6428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5BA96" w14:textId="35506B17" w:rsidR="00F007EC" w:rsidRDefault="00F007EC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07EC">
        <w:rPr>
          <w:rFonts w:ascii="Times New Roman" w:hAnsi="Times New Roman" w:cs="Times New Roman"/>
          <w:sz w:val="28"/>
          <w:szCs w:val="28"/>
        </w:rPr>
        <w:t>Скорость электрохимических реакций на поверхности электродов описывается уравнением Батлера–Фольмера:</w:t>
      </w:r>
    </w:p>
    <w:p w14:paraId="317FD564" w14:textId="30D131E1" w:rsidR="00F007EC" w:rsidRDefault="00DB5A42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A42">
        <w:rPr>
          <w:rFonts w:ascii="Times New Roman" w:hAnsi="Times New Roman" w:cs="Times New Roman"/>
          <w:position w:val="-30"/>
          <w:sz w:val="28"/>
          <w:szCs w:val="28"/>
        </w:rPr>
        <w:object w:dxaOrig="3519" w:dyaOrig="720" w14:anchorId="3A660784">
          <v:shape id="_x0000_i1064" type="#_x0000_t75" style="width:175.95pt;height:36.3pt" o:ole="">
            <v:imagedata r:id="rId14" o:title=""/>
          </v:shape>
          <o:OLEObject Type="Embed" ProgID="Equation.DSMT4" ShapeID="_x0000_i1064" DrawAspect="Content" ObjectID="_1834574247" r:id="rId15"/>
        </w:object>
      </w:r>
    </w:p>
    <w:p w14:paraId="364B649B" w14:textId="0231E448" w:rsidR="00DB5A42" w:rsidRDefault="00DB5A42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1696A9BD" w14:textId="3B84EE6C" w:rsidR="00DB5A42" w:rsidRDefault="00DB5A42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A42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DB5A4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плотность тока реакции;</w:t>
      </w:r>
    </w:p>
    <w:p w14:paraId="322CE40B" w14:textId="6990FF0A" w:rsidR="00DB5A42" w:rsidRDefault="00DB5A42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A42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DB5A42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0</w:t>
      </w:r>
      <w:r w:rsidRPr="00DB5A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обменный ток;</w:t>
      </w:r>
    </w:p>
    <w:p w14:paraId="41D1722E" w14:textId="4327E9F7" w:rsidR="00DB5A42" w:rsidRDefault="00DB5A42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A42">
        <w:rPr>
          <w:rFonts w:ascii="Times New Roman" w:hAnsi="Times New Roman" w:cs="Times New Roman"/>
          <w:i/>
          <w:iCs/>
          <w:sz w:val="28"/>
          <w:szCs w:val="28"/>
        </w:rPr>
        <w:t>η</w:t>
      </w:r>
      <w:r>
        <w:rPr>
          <w:rFonts w:ascii="Times New Roman" w:hAnsi="Times New Roman" w:cs="Times New Roman"/>
          <w:sz w:val="28"/>
          <w:szCs w:val="28"/>
        </w:rPr>
        <w:t xml:space="preserve"> – перенапряжение.</w:t>
      </w:r>
    </w:p>
    <w:p w14:paraId="6C51C23C" w14:textId="77777777" w:rsidR="00DB5A42" w:rsidRDefault="00DB5A42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095D4E" w14:textId="21A65EDB" w:rsidR="005D2E55" w:rsidRDefault="005D2E55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E55">
        <w:rPr>
          <w:rFonts w:ascii="Times New Roman" w:hAnsi="Times New Roman" w:cs="Times New Roman"/>
          <w:sz w:val="28"/>
          <w:szCs w:val="28"/>
        </w:rPr>
        <w:t>При малых значениях перенапряжения выполняется линеаризация уравнения:</w:t>
      </w:r>
    </w:p>
    <w:p w14:paraId="4C5050D0" w14:textId="6CC36C3F" w:rsidR="005D2E55" w:rsidRDefault="00512745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745">
        <w:rPr>
          <w:rFonts w:ascii="Times New Roman" w:hAnsi="Times New Roman" w:cs="Times New Roman"/>
          <w:position w:val="-24"/>
          <w:sz w:val="28"/>
          <w:szCs w:val="28"/>
        </w:rPr>
        <w:object w:dxaOrig="900" w:dyaOrig="620" w14:anchorId="45FABDC7">
          <v:shape id="_x0000_i1067" type="#_x0000_t75" style="width:45.1pt;height:31.3pt" o:ole="">
            <v:imagedata r:id="rId16" o:title=""/>
          </v:shape>
          <o:OLEObject Type="Embed" ProgID="Equation.DSMT4" ShapeID="_x0000_i1067" DrawAspect="Content" ObjectID="_1834574248" r:id="rId17"/>
        </w:object>
      </w:r>
    </w:p>
    <w:p w14:paraId="065466AD" w14:textId="04E32DD8" w:rsidR="00512745" w:rsidRDefault="00512745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745">
        <w:rPr>
          <w:rFonts w:ascii="Times New Roman" w:hAnsi="Times New Roman" w:cs="Times New Roman"/>
          <w:sz w:val="28"/>
          <w:szCs w:val="28"/>
        </w:rPr>
        <w:t>Из этого выражения можно получить сопротивление переноса заряда:</w:t>
      </w:r>
    </w:p>
    <w:p w14:paraId="0B15D2D7" w14:textId="31B10D72" w:rsidR="00512745" w:rsidRDefault="00512745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745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760" w:dyaOrig="620" w14:anchorId="61592C57">
          <v:shape id="_x0000_i1070" type="#_x0000_t75" style="width:38.2pt;height:31.3pt" o:ole="">
            <v:imagedata r:id="rId18" o:title=""/>
          </v:shape>
          <o:OLEObject Type="Embed" ProgID="Equation.DSMT4" ShapeID="_x0000_i1070" DrawAspect="Content" ObjectID="_1834574249" r:id="rId19"/>
        </w:object>
      </w:r>
    </w:p>
    <w:p w14:paraId="5115B96D" w14:textId="28784426" w:rsidR="00512745" w:rsidRDefault="00512745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2745">
        <w:rPr>
          <w:rFonts w:ascii="Times New Roman" w:hAnsi="Times New Roman" w:cs="Times New Roman"/>
          <w:sz w:val="28"/>
          <w:szCs w:val="28"/>
        </w:rPr>
        <w:t>Подставляя предыдущее выражение:</w:t>
      </w:r>
    </w:p>
    <w:p w14:paraId="214ECC91" w14:textId="04F1E720" w:rsidR="00512745" w:rsidRDefault="00C24B73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B73">
        <w:rPr>
          <w:rFonts w:ascii="Times New Roman" w:hAnsi="Times New Roman" w:cs="Times New Roman"/>
          <w:position w:val="-30"/>
          <w:sz w:val="28"/>
          <w:szCs w:val="28"/>
          <w:lang w:val="en-US"/>
        </w:rPr>
        <w:object w:dxaOrig="960" w:dyaOrig="680" w14:anchorId="4400FF05">
          <v:shape id="_x0000_i1073" type="#_x0000_t75" style="width:48.2pt;height:33.8pt" o:ole="">
            <v:imagedata r:id="rId20" o:title=""/>
          </v:shape>
          <o:OLEObject Type="Embed" ProgID="Equation.DSMT4" ShapeID="_x0000_i1073" DrawAspect="Content" ObjectID="_1834574250" r:id="rId21"/>
        </w:object>
      </w:r>
    </w:p>
    <w:p w14:paraId="5D742575" w14:textId="17709028" w:rsidR="00C24B73" w:rsidRDefault="00C24B73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B73">
        <w:rPr>
          <w:rFonts w:ascii="Times New Roman" w:hAnsi="Times New Roman" w:cs="Times New Roman"/>
          <w:sz w:val="28"/>
          <w:szCs w:val="28"/>
        </w:rPr>
        <w:t>Это фундаментальный результат электрохимической кинетики, который широко используется при анализе импеданса аккумуляторных систем.</w:t>
      </w:r>
    </w:p>
    <w:p w14:paraId="35C2A463" w14:textId="77777777" w:rsidR="00497B04" w:rsidRDefault="00497B04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1315EF" w14:textId="7A4818BE" w:rsidR="00497B04" w:rsidRPr="000B165D" w:rsidRDefault="00501F42" w:rsidP="008213A9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165D">
        <w:rPr>
          <w:rFonts w:ascii="Times New Roman" w:hAnsi="Times New Roman" w:cs="Times New Roman"/>
          <w:b/>
          <w:bCs/>
          <w:sz w:val="28"/>
          <w:szCs w:val="28"/>
        </w:rPr>
        <w:t xml:space="preserve">1.1.5 </w:t>
      </w:r>
      <w:r w:rsidR="001E604D" w:rsidRPr="000B165D">
        <w:rPr>
          <w:rFonts w:ascii="Times New Roman" w:hAnsi="Times New Roman" w:cs="Times New Roman"/>
          <w:b/>
          <w:bCs/>
          <w:sz w:val="28"/>
          <w:szCs w:val="28"/>
        </w:rPr>
        <w:t>Диффузионные процессы в аккумуляторных системах</w:t>
      </w:r>
    </w:p>
    <w:p w14:paraId="46F35E6F" w14:textId="77777777" w:rsidR="001E604D" w:rsidRDefault="001E604D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BF961" w14:textId="5E5594CE" w:rsidR="0032011F" w:rsidRDefault="000B165D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65D">
        <w:rPr>
          <w:rFonts w:ascii="Times New Roman" w:hAnsi="Times New Roman" w:cs="Times New Roman"/>
          <w:sz w:val="28"/>
          <w:szCs w:val="28"/>
        </w:rPr>
        <w:t>Перенос ионов лития внутри электродных материалов определяется законами диффузии Фика.</w:t>
      </w:r>
      <w:r w:rsidR="0032011F">
        <w:rPr>
          <w:rFonts w:ascii="Times New Roman" w:hAnsi="Times New Roman" w:cs="Times New Roman"/>
          <w:sz w:val="28"/>
          <w:szCs w:val="28"/>
        </w:rPr>
        <w:t xml:space="preserve"> </w:t>
      </w:r>
      <w:r w:rsidR="0032011F" w:rsidRPr="0032011F">
        <w:rPr>
          <w:rFonts w:ascii="Times New Roman" w:hAnsi="Times New Roman" w:cs="Times New Roman"/>
          <w:sz w:val="28"/>
          <w:szCs w:val="28"/>
        </w:rPr>
        <w:t>Второй закон Фика имеет вид:</w:t>
      </w:r>
    </w:p>
    <w:p w14:paraId="20E8C48B" w14:textId="7A6167CD" w:rsidR="0032011F" w:rsidRDefault="00B16676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6676">
        <w:rPr>
          <w:rFonts w:ascii="Times New Roman" w:hAnsi="Times New Roman" w:cs="Times New Roman"/>
          <w:position w:val="-24"/>
          <w:sz w:val="28"/>
          <w:szCs w:val="28"/>
        </w:rPr>
        <w:object w:dxaOrig="1280" w:dyaOrig="660" w14:anchorId="6E050575">
          <v:shape id="_x0000_i1076" type="#_x0000_t75" style="width:63.85pt;height:33.2pt" o:ole="">
            <v:imagedata r:id="rId22" o:title=""/>
          </v:shape>
          <o:OLEObject Type="Embed" ProgID="Equation.DSMT4" ShapeID="_x0000_i1076" DrawAspect="Content" ObjectID="_1834574251" r:id="rId23"/>
        </w:object>
      </w:r>
    </w:p>
    <w:p w14:paraId="4E032B02" w14:textId="7EEDB6D0" w:rsidR="00B16676" w:rsidRDefault="00B16676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7926E6B4" w14:textId="758AE819" w:rsidR="00B16676" w:rsidRDefault="00B16676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676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концентрация ионов;</w:t>
      </w:r>
    </w:p>
    <w:p w14:paraId="5AA03B8C" w14:textId="7D306F70" w:rsidR="00B16676" w:rsidRDefault="00B16676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676"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коэффициент диффузии.</w:t>
      </w:r>
    </w:p>
    <w:p w14:paraId="3BF32ADF" w14:textId="77777777" w:rsidR="00B16676" w:rsidRDefault="00B16676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B12E13" w14:textId="2E1205B3" w:rsidR="0086638F" w:rsidRDefault="0086638F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38F">
        <w:rPr>
          <w:rFonts w:ascii="Times New Roman" w:hAnsi="Times New Roman" w:cs="Times New Roman"/>
          <w:sz w:val="28"/>
          <w:szCs w:val="28"/>
        </w:rPr>
        <w:t>Решение этого уравнения для гармонического воздействия приводит к появлению так называемого импеданса Варбурга:</w:t>
      </w:r>
    </w:p>
    <w:p w14:paraId="1ADE30D2" w14:textId="458F4789" w:rsidR="0086638F" w:rsidRDefault="0086240A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240A">
        <w:rPr>
          <w:rFonts w:ascii="Times New Roman" w:hAnsi="Times New Roman" w:cs="Times New Roman"/>
          <w:position w:val="-32"/>
          <w:sz w:val="28"/>
          <w:szCs w:val="28"/>
        </w:rPr>
        <w:object w:dxaOrig="1420" w:dyaOrig="700" w14:anchorId="4A8A63AB">
          <v:shape id="_x0000_i1081" type="#_x0000_t75" style="width:70.75pt;height:35.05pt" o:ole="">
            <v:imagedata r:id="rId24" o:title=""/>
          </v:shape>
          <o:OLEObject Type="Embed" ProgID="Equation.DSMT4" ShapeID="_x0000_i1081" DrawAspect="Content" ObjectID="_1834574252" r:id="rId25"/>
        </w:object>
      </w:r>
    </w:p>
    <w:p w14:paraId="3C69FCD3" w14:textId="52B17F3B" w:rsidR="0086240A" w:rsidRDefault="0086240A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63A62FDE" w14:textId="0CAF54D5" w:rsidR="0086240A" w:rsidRDefault="0086240A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240A"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коэффициент Варбурга.</w:t>
      </w:r>
    </w:p>
    <w:p w14:paraId="2D197682" w14:textId="77777777" w:rsidR="0086240A" w:rsidRDefault="0086240A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ED75D8" w14:textId="73FEEC83" w:rsidR="0086240A" w:rsidRDefault="0086240A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240A">
        <w:rPr>
          <w:rFonts w:ascii="Times New Roman" w:hAnsi="Times New Roman" w:cs="Times New Roman"/>
          <w:sz w:val="28"/>
          <w:szCs w:val="28"/>
        </w:rPr>
        <w:lastRenderedPageBreak/>
        <w:t>Данный импеданс проявляется в виде характерного наклонного участка на диаграмме Найквиста.</w:t>
      </w:r>
    </w:p>
    <w:p w14:paraId="2CBEBE09" w14:textId="77777777" w:rsidR="00BF5DE4" w:rsidRDefault="00BF5DE4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FA42AC" w14:textId="0535D938" w:rsidR="00BF5DE4" w:rsidRPr="00573A97" w:rsidRDefault="00573A97" w:rsidP="008213A9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A97">
        <w:rPr>
          <w:rFonts w:ascii="Times New Roman" w:hAnsi="Times New Roman" w:cs="Times New Roman"/>
          <w:b/>
          <w:bCs/>
          <w:sz w:val="28"/>
          <w:szCs w:val="28"/>
        </w:rPr>
        <w:t>1.1.6 Тепловые процессы и деградация батарей</w:t>
      </w:r>
    </w:p>
    <w:p w14:paraId="51C36126" w14:textId="77777777" w:rsidR="00573A97" w:rsidRDefault="00573A97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46421A" w14:textId="5780B48E" w:rsidR="00573A97" w:rsidRDefault="00524935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935">
        <w:rPr>
          <w:rFonts w:ascii="Times New Roman" w:hAnsi="Times New Roman" w:cs="Times New Roman"/>
          <w:sz w:val="28"/>
          <w:szCs w:val="28"/>
        </w:rPr>
        <w:t>Температура играет ключевую роль в деградации аккумуляторных систем. Скорость большинства химических реакций определяется законом Аррениуса:</w:t>
      </w:r>
    </w:p>
    <w:p w14:paraId="074FAF14" w14:textId="4F34BB66" w:rsidR="00524935" w:rsidRDefault="000A2F13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F13">
        <w:rPr>
          <w:rFonts w:ascii="Times New Roman" w:hAnsi="Times New Roman" w:cs="Times New Roman"/>
          <w:position w:val="-28"/>
          <w:sz w:val="28"/>
          <w:szCs w:val="28"/>
        </w:rPr>
        <w:object w:dxaOrig="2079" w:dyaOrig="680" w14:anchorId="2E290427">
          <v:shape id="_x0000_i1084" type="#_x0000_t75" style="width:103.95pt;height:33.8pt" o:ole="">
            <v:imagedata r:id="rId26" o:title=""/>
          </v:shape>
          <o:OLEObject Type="Embed" ProgID="Equation.DSMT4" ShapeID="_x0000_i1084" DrawAspect="Content" ObjectID="_1834574253" r:id="rId27"/>
        </w:object>
      </w:r>
    </w:p>
    <w:p w14:paraId="474AB472" w14:textId="7D1CF880" w:rsidR="000A2F13" w:rsidRDefault="000A2F13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, где</w:t>
      </w:r>
    </w:p>
    <w:p w14:paraId="630D5E83" w14:textId="46BF254F" w:rsidR="000A2F13" w:rsidRDefault="000A2F13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F13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скорость реакции;</w:t>
      </w:r>
    </w:p>
    <w:p w14:paraId="6225C23C" w14:textId="156CE309" w:rsidR="000A2F13" w:rsidRDefault="000A2F13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F13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Pr="000A2F13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– энергия активации</w:t>
      </w:r>
      <w:r w:rsidR="00254809">
        <w:rPr>
          <w:rFonts w:ascii="Times New Roman" w:hAnsi="Times New Roman" w:cs="Times New Roman"/>
          <w:sz w:val="28"/>
          <w:szCs w:val="28"/>
        </w:rPr>
        <w:t xml:space="preserve"> </w:t>
      </w:r>
      <w:r w:rsidR="00254809" w:rsidRPr="00254809">
        <w:rPr>
          <w:rFonts w:ascii="Times New Roman" w:hAnsi="Times New Roman" w:cs="Times New Roman"/>
          <w:sz w:val="28"/>
          <w:szCs w:val="28"/>
        </w:rPr>
        <w:t>[</w:t>
      </w:r>
      <w:r w:rsidR="00254809" w:rsidRPr="00254809">
        <w:rPr>
          <w:rFonts w:ascii="Times New Roman" w:hAnsi="Times New Roman" w:cs="Times New Roman"/>
          <w:sz w:val="28"/>
          <w:szCs w:val="28"/>
        </w:rPr>
        <w:t>Дж/моль</w:t>
      </w:r>
      <w:r w:rsidR="00254809" w:rsidRPr="0025480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5E9A59" w14:textId="77777777" w:rsidR="00724268" w:rsidRDefault="00724268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40ADC3" w14:textId="680F73B9" w:rsidR="00724268" w:rsidRDefault="007F61DE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61DE">
        <w:rPr>
          <w:rFonts w:ascii="Times New Roman" w:hAnsi="Times New Roman" w:cs="Times New Roman"/>
          <w:sz w:val="28"/>
          <w:szCs w:val="28"/>
        </w:rPr>
        <w:t>С ростом температуры скорость деградационных процессов резко увеличивается.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61DE">
        <w:rPr>
          <w:rFonts w:ascii="Times New Roman" w:hAnsi="Times New Roman" w:cs="Times New Roman"/>
          <w:sz w:val="28"/>
          <w:szCs w:val="28"/>
        </w:rPr>
        <w:t>Тепловыделение батареи определяется выражением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D42273" w14:textId="182BC15C" w:rsidR="007F61DE" w:rsidRDefault="00107A4F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7A4F">
        <w:rPr>
          <w:rFonts w:ascii="Times New Roman" w:hAnsi="Times New Roman" w:cs="Times New Roman"/>
          <w:position w:val="-12"/>
          <w:sz w:val="28"/>
          <w:szCs w:val="28"/>
        </w:rPr>
        <w:object w:dxaOrig="980" w:dyaOrig="380" w14:anchorId="1A18B4E8">
          <v:shape id="_x0000_i1087" type="#_x0000_t75" style="width:48.85pt;height:18.8pt" o:ole="">
            <v:imagedata r:id="rId28" o:title=""/>
          </v:shape>
          <o:OLEObject Type="Embed" ProgID="Equation.DSMT4" ShapeID="_x0000_i1087" DrawAspect="Content" ObjectID="_1834574254" r:id="rId29"/>
        </w:object>
      </w:r>
    </w:p>
    <w:p w14:paraId="2AD9C989" w14:textId="7E5142C6" w:rsidR="00107A4F" w:rsidRDefault="00107A4F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 где</w:t>
      </w:r>
    </w:p>
    <w:p w14:paraId="3A8CC20F" w14:textId="578F1363" w:rsidR="00107A4F" w:rsidRDefault="00107A4F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7A4F"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 w:rsidRPr="00107A4F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– внутреннее сопротивление батареи.</w:t>
      </w:r>
    </w:p>
    <w:p w14:paraId="208DCC1C" w14:textId="77777777" w:rsidR="00107A4F" w:rsidRDefault="00107A4F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42061" w14:textId="6ACB9031" w:rsidR="00EF2B9A" w:rsidRDefault="00EF2B9A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B9A">
        <w:rPr>
          <w:rFonts w:ascii="Times New Roman" w:hAnsi="Times New Roman" w:cs="Times New Roman"/>
          <w:sz w:val="28"/>
          <w:szCs w:val="28"/>
        </w:rPr>
        <w:t>Рост сопротивления приводит к увеличению тепловыделения и ускорению деградации материалов.</w:t>
      </w:r>
    </w:p>
    <w:p w14:paraId="64B196F4" w14:textId="77777777" w:rsidR="00EF2B9A" w:rsidRDefault="00EF2B9A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A7D515" w14:textId="7D4DA352" w:rsidR="00EF2B9A" w:rsidRPr="00EF2B9A" w:rsidRDefault="00EF2B9A" w:rsidP="008213A9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2B9A">
        <w:rPr>
          <w:rFonts w:ascii="Times New Roman" w:hAnsi="Times New Roman" w:cs="Times New Roman"/>
          <w:b/>
          <w:bCs/>
          <w:sz w:val="28"/>
          <w:szCs w:val="28"/>
        </w:rPr>
        <w:t>Вывод  по разделу 1.1</w:t>
      </w:r>
    </w:p>
    <w:p w14:paraId="0134681A" w14:textId="77777777" w:rsidR="00EF2B9A" w:rsidRDefault="00EF2B9A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AC4C0" w14:textId="4B5BEE05" w:rsidR="00EF2B9A" w:rsidRPr="00107A4F" w:rsidRDefault="00EF2B9A" w:rsidP="008213A9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B9A">
        <w:rPr>
          <w:rFonts w:ascii="Times New Roman" w:hAnsi="Times New Roman" w:cs="Times New Roman"/>
          <w:sz w:val="28"/>
          <w:szCs w:val="28"/>
        </w:rPr>
        <w:t>Таким образом, тяговая аккумуляторная батарея представляет собой сложную электрохимическую систему, поведение которой определяется взаимодействием электрических, химических и тепловых процессов. Нестационарный характер эксплуатации электротранспортных систем существенно усложняет анализ деградации аккумуляторных батарей и требует разработки новых методов диагностики и прогнозирования их ресурса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EF2B9A" w:rsidRPr="00107A4F" w:rsidSect="00F50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798"/>
    <w:multiLevelType w:val="hybridMultilevel"/>
    <w:tmpl w:val="7DDCC1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2A68F14">
      <w:numFmt w:val="bullet"/>
      <w:lvlText w:val="-"/>
      <w:lvlJc w:val="left"/>
      <w:pPr>
        <w:ind w:left="178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74C6C3F"/>
    <w:multiLevelType w:val="hybridMultilevel"/>
    <w:tmpl w:val="E2E65012"/>
    <w:lvl w:ilvl="0" w:tplc="E07EF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7C68CD"/>
    <w:multiLevelType w:val="hybridMultilevel"/>
    <w:tmpl w:val="AE26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DB0646"/>
    <w:multiLevelType w:val="hybridMultilevel"/>
    <w:tmpl w:val="9F761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7959EE"/>
    <w:multiLevelType w:val="hybridMultilevel"/>
    <w:tmpl w:val="1D6E7FE0"/>
    <w:lvl w:ilvl="0" w:tplc="46D821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67821B2"/>
    <w:multiLevelType w:val="hybridMultilevel"/>
    <w:tmpl w:val="CC183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EE95F11"/>
    <w:multiLevelType w:val="hybridMultilevel"/>
    <w:tmpl w:val="8EF25E2C"/>
    <w:lvl w:ilvl="0" w:tplc="18524E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CE8480C"/>
    <w:multiLevelType w:val="hybridMultilevel"/>
    <w:tmpl w:val="7A8A8C32"/>
    <w:lvl w:ilvl="0" w:tplc="CBDE7C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44527566">
    <w:abstractNumId w:val="0"/>
  </w:num>
  <w:num w:numId="2" w16cid:durableId="1817649899">
    <w:abstractNumId w:val="5"/>
  </w:num>
  <w:num w:numId="3" w16cid:durableId="1173373436">
    <w:abstractNumId w:val="2"/>
  </w:num>
  <w:num w:numId="4" w16cid:durableId="266350250">
    <w:abstractNumId w:val="1"/>
  </w:num>
  <w:num w:numId="5" w16cid:durableId="1895386371">
    <w:abstractNumId w:val="3"/>
  </w:num>
  <w:num w:numId="6" w16cid:durableId="1867982396">
    <w:abstractNumId w:val="6"/>
  </w:num>
  <w:num w:numId="7" w16cid:durableId="863178132">
    <w:abstractNumId w:val="4"/>
  </w:num>
  <w:num w:numId="8" w16cid:durableId="290209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D6"/>
    <w:rsid w:val="00021643"/>
    <w:rsid w:val="00061A05"/>
    <w:rsid w:val="00077A4F"/>
    <w:rsid w:val="000A004B"/>
    <w:rsid w:val="000A2F13"/>
    <w:rsid w:val="000B165D"/>
    <w:rsid w:val="000B7C06"/>
    <w:rsid w:val="00107A4F"/>
    <w:rsid w:val="00110D50"/>
    <w:rsid w:val="001304D0"/>
    <w:rsid w:val="00141ED6"/>
    <w:rsid w:val="00155F3E"/>
    <w:rsid w:val="001602D9"/>
    <w:rsid w:val="00174602"/>
    <w:rsid w:val="001759E4"/>
    <w:rsid w:val="001E604D"/>
    <w:rsid w:val="001F0927"/>
    <w:rsid w:val="002009DB"/>
    <w:rsid w:val="002012FD"/>
    <w:rsid w:val="002139A3"/>
    <w:rsid w:val="0021675A"/>
    <w:rsid w:val="00222920"/>
    <w:rsid w:val="00254809"/>
    <w:rsid w:val="0028792F"/>
    <w:rsid w:val="002B1F3B"/>
    <w:rsid w:val="002C7B6C"/>
    <w:rsid w:val="002D4A79"/>
    <w:rsid w:val="002F2C01"/>
    <w:rsid w:val="0032011F"/>
    <w:rsid w:val="00320211"/>
    <w:rsid w:val="00356877"/>
    <w:rsid w:val="003906B2"/>
    <w:rsid w:val="003B7B25"/>
    <w:rsid w:val="003D3343"/>
    <w:rsid w:val="004015C2"/>
    <w:rsid w:val="00417535"/>
    <w:rsid w:val="00417A3C"/>
    <w:rsid w:val="004574AA"/>
    <w:rsid w:val="00462264"/>
    <w:rsid w:val="00467422"/>
    <w:rsid w:val="00471B7F"/>
    <w:rsid w:val="00474A30"/>
    <w:rsid w:val="00497B04"/>
    <w:rsid w:val="004B5BBF"/>
    <w:rsid w:val="004D7061"/>
    <w:rsid w:val="004E73D4"/>
    <w:rsid w:val="00501F42"/>
    <w:rsid w:val="00507907"/>
    <w:rsid w:val="00512745"/>
    <w:rsid w:val="00524935"/>
    <w:rsid w:val="00541074"/>
    <w:rsid w:val="00573A97"/>
    <w:rsid w:val="005815A9"/>
    <w:rsid w:val="005927FE"/>
    <w:rsid w:val="005A5465"/>
    <w:rsid w:val="005C227D"/>
    <w:rsid w:val="005D2E55"/>
    <w:rsid w:val="005D32F1"/>
    <w:rsid w:val="005D4C07"/>
    <w:rsid w:val="005D61EC"/>
    <w:rsid w:val="006159CC"/>
    <w:rsid w:val="00622012"/>
    <w:rsid w:val="006270BF"/>
    <w:rsid w:val="006408A7"/>
    <w:rsid w:val="00654960"/>
    <w:rsid w:val="00690F2A"/>
    <w:rsid w:val="006A42BC"/>
    <w:rsid w:val="006D6B85"/>
    <w:rsid w:val="006E4AB9"/>
    <w:rsid w:val="006F49B8"/>
    <w:rsid w:val="0070099F"/>
    <w:rsid w:val="007066E1"/>
    <w:rsid w:val="007111AC"/>
    <w:rsid w:val="00724268"/>
    <w:rsid w:val="007C7DAD"/>
    <w:rsid w:val="007E1114"/>
    <w:rsid w:val="007E6428"/>
    <w:rsid w:val="007F61DE"/>
    <w:rsid w:val="008213A9"/>
    <w:rsid w:val="008262A5"/>
    <w:rsid w:val="00850128"/>
    <w:rsid w:val="00854645"/>
    <w:rsid w:val="0086240A"/>
    <w:rsid w:val="0086638F"/>
    <w:rsid w:val="0087489C"/>
    <w:rsid w:val="008776EE"/>
    <w:rsid w:val="008815CB"/>
    <w:rsid w:val="008C72D1"/>
    <w:rsid w:val="008D0ABF"/>
    <w:rsid w:val="008E4359"/>
    <w:rsid w:val="008E4D68"/>
    <w:rsid w:val="00914F21"/>
    <w:rsid w:val="00927FAB"/>
    <w:rsid w:val="00960CFC"/>
    <w:rsid w:val="009862F4"/>
    <w:rsid w:val="00993ACA"/>
    <w:rsid w:val="009B5CC0"/>
    <w:rsid w:val="009E2D0F"/>
    <w:rsid w:val="00A01B55"/>
    <w:rsid w:val="00A41681"/>
    <w:rsid w:val="00A64406"/>
    <w:rsid w:val="00A678C9"/>
    <w:rsid w:val="00A84028"/>
    <w:rsid w:val="00A849C1"/>
    <w:rsid w:val="00A85137"/>
    <w:rsid w:val="00AC2665"/>
    <w:rsid w:val="00AC37DB"/>
    <w:rsid w:val="00AC57A6"/>
    <w:rsid w:val="00B154A1"/>
    <w:rsid w:val="00B16676"/>
    <w:rsid w:val="00BD111B"/>
    <w:rsid w:val="00BF5DE4"/>
    <w:rsid w:val="00BF73BF"/>
    <w:rsid w:val="00C005C8"/>
    <w:rsid w:val="00C24B73"/>
    <w:rsid w:val="00C321F5"/>
    <w:rsid w:val="00C614AC"/>
    <w:rsid w:val="00C81E17"/>
    <w:rsid w:val="00C81F23"/>
    <w:rsid w:val="00C9288B"/>
    <w:rsid w:val="00C94C2C"/>
    <w:rsid w:val="00CE3413"/>
    <w:rsid w:val="00D048A9"/>
    <w:rsid w:val="00D11DDA"/>
    <w:rsid w:val="00D20D67"/>
    <w:rsid w:val="00D544EB"/>
    <w:rsid w:val="00D54A84"/>
    <w:rsid w:val="00D665BB"/>
    <w:rsid w:val="00D87456"/>
    <w:rsid w:val="00DB5A42"/>
    <w:rsid w:val="00DE1452"/>
    <w:rsid w:val="00DE51CB"/>
    <w:rsid w:val="00DE763F"/>
    <w:rsid w:val="00DF1117"/>
    <w:rsid w:val="00E43C14"/>
    <w:rsid w:val="00E5270D"/>
    <w:rsid w:val="00E844DC"/>
    <w:rsid w:val="00E92F2E"/>
    <w:rsid w:val="00EE37F5"/>
    <w:rsid w:val="00EF2B9A"/>
    <w:rsid w:val="00EF5F41"/>
    <w:rsid w:val="00F007EC"/>
    <w:rsid w:val="00F0482E"/>
    <w:rsid w:val="00F3389B"/>
    <w:rsid w:val="00F4518D"/>
    <w:rsid w:val="00F50231"/>
    <w:rsid w:val="00F86185"/>
    <w:rsid w:val="00FB514F"/>
    <w:rsid w:val="00FB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79A73"/>
  <w15:chartTrackingRefBased/>
  <w15:docId w15:val="{66F8737A-7C42-4786-A978-0E7F80DA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E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E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E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E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E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E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E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E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E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E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ED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27F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2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image" Target="media/image11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C4E44-0375-4656-80F3-C58AF9F2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xeon_ssd</dc:creator>
  <cp:keywords/>
  <dc:description/>
  <cp:lastModifiedBy>xeon_ssd</cp:lastModifiedBy>
  <cp:revision>137</cp:revision>
  <dcterms:created xsi:type="dcterms:W3CDTF">2026-03-08T09:35:00Z</dcterms:created>
  <dcterms:modified xsi:type="dcterms:W3CDTF">2026-03-09T08:07:00Z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