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264C092E" w:rsidR="00320211" w:rsidRPr="0062023B" w:rsidRDefault="00194121" w:rsidP="009A0BF5">
      <w:pPr>
        <w:spacing w:line="360" w:lineRule="auto"/>
        <w:ind w:left="707" w:firstLine="709"/>
        <w:jc w:val="center"/>
        <w:rPr>
          <w:rFonts w:ascii="Times New Roman" w:hAnsi="Times New Roman" w:cs="Times New Roman"/>
          <w:b/>
          <w:bCs/>
          <w:caps/>
          <w:sz w:val="28"/>
          <w:szCs w:val="28"/>
          <w:lang w:val="en-US"/>
        </w:rPr>
      </w:pPr>
      <w:r w:rsidRPr="0062023B">
        <w:rPr>
          <w:rFonts w:ascii="Times New Roman" w:hAnsi="Times New Roman" w:cs="Times New Roman"/>
          <w:b/>
          <w:bCs/>
          <w:caps/>
          <w:sz w:val="28"/>
          <w:szCs w:val="28"/>
        </w:rPr>
        <w:t>Заключение</w:t>
      </w:r>
    </w:p>
    <w:p w14:paraId="368353D5" w14:textId="4056214D" w:rsidR="002D4A79" w:rsidRPr="0062023B" w:rsidRDefault="00C5194D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5194D">
        <w:rPr>
          <w:rFonts w:ascii="Times New Roman" w:hAnsi="Times New Roman" w:cs="Times New Roman"/>
          <w:b/>
          <w:bCs/>
          <w:sz w:val="28"/>
          <w:szCs w:val="28"/>
        </w:rPr>
        <w:t>1 Основные научные результаты</w:t>
      </w:r>
    </w:p>
    <w:p w14:paraId="359C309C" w14:textId="77777777" w:rsidR="0062023B" w:rsidRDefault="0062023B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0479BE" w14:textId="221503E0" w:rsidR="00C5194D" w:rsidRDefault="00C5194D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194D">
        <w:rPr>
          <w:rFonts w:ascii="Times New Roman" w:hAnsi="Times New Roman" w:cs="Times New Roman"/>
          <w:sz w:val="28"/>
          <w:szCs w:val="28"/>
        </w:rPr>
        <w:t>В диссертационной работе решена актуальная научно-техническая задача разработки методов и моделей диагностики и прогнозирования остаточного ресурса тяговых аккумуляторных батарей электротранспорта на основе анализа комплексного импеданса в нестационарных режимах эксплуатации. Научная значимость полученных результатов определяется тем, что в работе последовательно объединены электрохимическая, электротехническая, диагностическая и прогностическая постановки задачи в рамках единой импедансно-ориентированной концепции.</w:t>
      </w:r>
    </w:p>
    <w:p w14:paraId="6642B69C" w14:textId="4EC334A5" w:rsidR="00C5194D" w:rsidRDefault="00E63A44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3A44">
        <w:rPr>
          <w:rFonts w:ascii="Times New Roman" w:hAnsi="Times New Roman" w:cs="Times New Roman"/>
          <w:sz w:val="28"/>
          <w:szCs w:val="28"/>
        </w:rPr>
        <w:t>Первым существенным результатом является формирование целостной теоретической платформы исследования тяговой аккумуляторной батареи как элемента электротехнического комплекса электротранспорта. В работе показано, что батарея должна рассматриваться не только как источник энергии, но и как динамический объект с параметрически изменяющимися электрическими, тепловыми и деградационными характеристиками. Это позволило перейти от традиционного описания аккумулятора через напряжение, ток и емкость к более содержательной модели, в которой ключевыми информативными признаками являются параметры комплексного импеданса.</w:t>
      </w:r>
    </w:p>
    <w:p w14:paraId="42CD39D8" w14:textId="611E15A0" w:rsidR="00E63A44" w:rsidRDefault="00E63A44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3A44">
        <w:rPr>
          <w:rFonts w:ascii="Times New Roman" w:hAnsi="Times New Roman" w:cs="Times New Roman"/>
          <w:sz w:val="28"/>
          <w:szCs w:val="28"/>
        </w:rPr>
        <w:t>Вторым научным результатом является разработка теоретической и математической модели комплексного импеданса тяговой аккумуляторной батареи в виде функциональной зависимости</w:t>
      </w:r>
    </w:p>
    <w:p w14:paraId="281131DA" w14:textId="77777777" w:rsidR="00E63A44" w:rsidRDefault="00E63A44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FF9799" w14:textId="136D86DC" w:rsidR="00E63A44" w:rsidRPr="00E63A44" w:rsidRDefault="00E63A44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3A44">
        <w:rPr>
          <w:rFonts w:ascii="Times New Roman" w:hAnsi="Times New Roman" w:cs="Times New Roman"/>
          <w:position w:val="-14"/>
          <w:sz w:val="28"/>
          <w:szCs w:val="28"/>
        </w:rPr>
        <w:object w:dxaOrig="2100" w:dyaOrig="400" w14:anchorId="527C9C0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105.2pt;height:20.05pt" o:ole="">
            <v:imagedata r:id="rId6" o:title=""/>
          </v:shape>
          <o:OLEObject Type="Embed" ProgID="Equation.DSMT4" ShapeID="_x0000_i1027" DrawAspect="Content" ObjectID="_1838530001" r:id="rId7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D46E782" w14:textId="77777777" w:rsidR="00E63A44" w:rsidRDefault="00E63A44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298268" w14:textId="144C4359" w:rsidR="00E63A44" w:rsidRDefault="00E63A44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где </w:t>
      </w:r>
      <w:r w:rsidRPr="00E63A44">
        <w:rPr>
          <w:rFonts w:ascii="Times New Roman" w:hAnsi="Times New Roman" w:cs="Times New Roman"/>
          <w:i/>
          <w:iCs/>
          <w:sz w:val="28"/>
          <w:szCs w:val="28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63A44">
        <w:rPr>
          <w:rFonts w:ascii="Times New Roman" w:hAnsi="Times New Roman" w:cs="Times New Roman"/>
          <w:sz w:val="28"/>
          <w:szCs w:val="28"/>
        </w:rPr>
        <w:t>круговая частота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63A4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E63A44">
        <w:rPr>
          <w:rFonts w:ascii="Times New Roman" w:hAnsi="Times New Roman" w:cs="Times New Roman"/>
          <w:sz w:val="28"/>
          <w:szCs w:val="28"/>
        </w:rPr>
        <w:t xml:space="preserve"> – </w:t>
      </w:r>
      <w:r w:rsidRPr="00E63A44">
        <w:rPr>
          <w:rFonts w:ascii="Times New Roman" w:hAnsi="Times New Roman" w:cs="Times New Roman"/>
          <w:sz w:val="28"/>
          <w:szCs w:val="28"/>
        </w:rPr>
        <w:t>температура</w:t>
      </w:r>
      <w:r w:rsidRPr="00E63A44">
        <w:rPr>
          <w:rFonts w:ascii="Times New Roman" w:hAnsi="Times New Roman" w:cs="Times New Roman"/>
          <w:sz w:val="28"/>
          <w:szCs w:val="28"/>
        </w:rPr>
        <w:t xml:space="preserve">, </w:t>
      </w:r>
      <w:r w:rsidRPr="00E63A4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E63A44">
        <w:rPr>
          <w:rFonts w:ascii="Times New Roman" w:hAnsi="Times New Roman" w:cs="Times New Roman"/>
          <w:sz w:val="28"/>
          <w:szCs w:val="28"/>
        </w:rPr>
        <w:t xml:space="preserve"> – </w:t>
      </w:r>
      <w:r w:rsidRPr="00E63A44">
        <w:rPr>
          <w:rFonts w:ascii="Times New Roman" w:hAnsi="Times New Roman" w:cs="Times New Roman"/>
          <w:sz w:val="28"/>
          <w:szCs w:val="28"/>
        </w:rPr>
        <w:t>параметр деградации. Данная модель позволила</w:t>
      </w:r>
      <w:r w:rsidRPr="00E63A44">
        <w:rPr>
          <w:rFonts w:ascii="Times New Roman" w:hAnsi="Times New Roman" w:cs="Times New Roman"/>
          <w:sz w:val="28"/>
          <w:szCs w:val="28"/>
        </w:rPr>
        <w:t xml:space="preserve"> </w:t>
      </w:r>
      <w:r w:rsidRPr="00E63A44">
        <w:rPr>
          <w:rFonts w:ascii="Times New Roman" w:hAnsi="Times New Roman" w:cs="Times New Roman"/>
          <w:sz w:val="28"/>
          <w:szCs w:val="28"/>
        </w:rPr>
        <w:t>формализовать влияние эксплуатационных и деградационных факторов на структуру спектра импеданса и перейти к количественной интерпретации измеряемых частотных характеристик.</w:t>
      </w:r>
    </w:p>
    <w:p w14:paraId="6EEBC8F5" w14:textId="6E3B7701" w:rsidR="00E63A44" w:rsidRDefault="00E63A44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3A44">
        <w:rPr>
          <w:rFonts w:ascii="Times New Roman" w:hAnsi="Times New Roman" w:cs="Times New Roman"/>
          <w:sz w:val="28"/>
          <w:szCs w:val="28"/>
        </w:rPr>
        <w:t>Третьим результатом является развитие модели импеданса на случай нестационарных и импульсных нагрузок, характерных для электротранспорта. В отличие от классических лабораторных EIS-подходов, ориентированных на стационарный режим, в работе введено представление динамического импеданса, учитывающее изменяющиеся токовые профили, рекуперационные события, температурные колебания, глубину частичных циклов и иные транспортно-эксплуатационные факторы. Тем самым предложено математическое описание, существенно более близкое к реальным условиям работы тяговых батарей.</w:t>
      </w:r>
    </w:p>
    <w:p w14:paraId="3F4FA1A7" w14:textId="02F21300" w:rsidR="00E63A44" w:rsidRDefault="00E63A44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3A44">
        <w:rPr>
          <w:rFonts w:ascii="Times New Roman" w:hAnsi="Times New Roman" w:cs="Times New Roman"/>
          <w:sz w:val="28"/>
          <w:szCs w:val="28"/>
        </w:rPr>
        <w:t>Четвёртым научным результатом является формализация параметра деградации и скорости его изменения на основе динамики импедансных параметров. Показано, что наиболее информативными диагностическими признаками являются сопротивление переноса заряда, омическое сопротивление, диффузионная составляющая и производные признаки, связанные с релаксационными временами и изменением формы Nyquist- и Bode-характеристик. На этой основе введён интегральный диагностический критерий технического</w:t>
      </w:r>
      <w:r w:rsidRPr="00E63A44">
        <w:rPr>
          <w:rFonts w:ascii="Times New Roman" w:hAnsi="Times New Roman" w:cs="Times New Roman"/>
          <w:sz w:val="28"/>
          <w:szCs w:val="28"/>
        </w:rPr>
        <w:t xml:space="preserve"> </w:t>
      </w:r>
      <w:r w:rsidRPr="00E63A44">
        <w:rPr>
          <w:rFonts w:ascii="Times New Roman" w:hAnsi="Times New Roman" w:cs="Times New Roman"/>
          <w:sz w:val="28"/>
          <w:szCs w:val="28"/>
        </w:rPr>
        <w:t>состояния батареи, который обеспечивает переход от разрозненных спектральных признаков к единой скалярной оценке степени деградации.</w:t>
      </w:r>
    </w:p>
    <w:p w14:paraId="70A24D29" w14:textId="7762250C" w:rsidR="00E63A44" w:rsidRDefault="00E63A44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3A44">
        <w:rPr>
          <w:rFonts w:ascii="Times New Roman" w:hAnsi="Times New Roman" w:cs="Times New Roman"/>
          <w:sz w:val="28"/>
          <w:szCs w:val="28"/>
        </w:rPr>
        <w:t xml:space="preserve">Пятым результатом является разработка диагностических критериев технического состояния тяговой батареи по параметрам комплексного импеданса. В работе установлена связь между изменением диаметра полукруга на диаграмме Найквиста, ростом сопротивления переноса заряда, усилением диффузионных ограничений и накоплением деградационных повреждений. Предложены критерий текущего деградационного состояния, критерий </w:t>
      </w:r>
      <w:r w:rsidRPr="00E63A44">
        <w:rPr>
          <w:rFonts w:ascii="Times New Roman" w:hAnsi="Times New Roman" w:cs="Times New Roman"/>
          <w:sz w:val="28"/>
          <w:szCs w:val="28"/>
        </w:rPr>
        <w:lastRenderedPageBreak/>
        <w:t>предельного состояния и метод экспресс-оценки</w:t>
      </w:r>
      <w:r w:rsidRPr="00E63A44">
        <w:rPr>
          <w:rFonts w:ascii="Times New Roman" w:hAnsi="Times New Roman" w:cs="Times New Roman"/>
          <w:sz w:val="28"/>
          <w:szCs w:val="28"/>
        </w:rPr>
        <w:t xml:space="preserve"> </w:t>
      </w:r>
      <w:r w:rsidRPr="00E63A4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63A44">
        <w:rPr>
          <w:rFonts w:ascii="Times New Roman" w:hAnsi="Times New Roman" w:cs="Times New Roman"/>
          <w:sz w:val="28"/>
          <w:szCs w:val="28"/>
        </w:rPr>
        <w:t xml:space="preserve"> </w:t>
      </w:r>
      <w:r w:rsidR="00F02155" w:rsidRPr="00F02155">
        <w:rPr>
          <w:rFonts w:ascii="Times New Roman" w:hAnsi="Times New Roman" w:cs="Times New Roman"/>
          <w:sz w:val="28"/>
          <w:szCs w:val="28"/>
        </w:rPr>
        <w:t>по ограниченному</w:t>
      </w:r>
      <w:r w:rsidR="00F02155" w:rsidRPr="00F02155">
        <w:rPr>
          <w:rFonts w:ascii="Times New Roman" w:hAnsi="Times New Roman" w:cs="Times New Roman"/>
          <w:sz w:val="28"/>
          <w:szCs w:val="28"/>
        </w:rPr>
        <w:t xml:space="preserve"> </w:t>
      </w:r>
      <w:r w:rsidR="00F02155" w:rsidRPr="00F02155">
        <w:rPr>
          <w:rFonts w:ascii="Times New Roman" w:hAnsi="Times New Roman" w:cs="Times New Roman"/>
          <w:sz w:val="28"/>
          <w:szCs w:val="28"/>
        </w:rPr>
        <w:t>набору диагностических частот, пригодный для последующей интеграции в BMS.</w:t>
      </w:r>
    </w:p>
    <w:p w14:paraId="41E01064" w14:textId="5F6BF085" w:rsidR="00F02155" w:rsidRDefault="00F02155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2155">
        <w:rPr>
          <w:rFonts w:ascii="Times New Roman" w:hAnsi="Times New Roman" w:cs="Times New Roman"/>
          <w:sz w:val="28"/>
          <w:szCs w:val="28"/>
        </w:rPr>
        <w:t>Шестым научным результатом является построение прогностической модели остаточного ресурса тяговой аккумуляторной батареи. В работе показано, что остаточный ресурс должен рассматриваться как функция не только текущего состояния батареи, но и скорости дальнейшего изменения импедансных параметров в заданной транспортной миссии. На этой основе получены выражения для прогноза ресурса в циклах и во времени, учитывающие нестационарность режима эксплуатации. Тем самым работа выходит за пределы чисто диагностической постановки и формирует полноценный прогностический контур.</w:t>
      </w:r>
    </w:p>
    <w:p w14:paraId="7D8E6E71" w14:textId="12E5C817" w:rsidR="00F02155" w:rsidRDefault="00F02155" w:rsidP="003B6EA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2155">
        <w:rPr>
          <w:rFonts w:ascii="Times New Roman" w:hAnsi="Times New Roman" w:cs="Times New Roman"/>
          <w:sz w:val="28"/>
          <w:szCs w:val="28"/>
        </w:rPr>
        <w:t>Седьмым результатом является введение эксплуатационно-ориентированной модели, учитывающей влияние температуры, токовых пиков, рекуперации, глубины циклирования, интенсивности эквивалентного использования и иных факторов транспортной среды. Впервые в рамках единой диссертационной постановки эти факторы были включены непосредственно в структуру прогноза</w:t>
      </w:r>
      <w:r w:rsidRPr="00F02155">
        <w:rPr>
          <w:rFonts w:ascii="Times New Roman" w:hAnsi="Times New Roman" w:cs="Times New Roman"/>
          <w:sz w:val="28"/>
          <w:szCs w:val="28"/>
        </w:rPr>
        <w:t xml:space="preserve"> </w:t>
      </w:r>
      <w:r w:rsidRPr="00F02155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F02155">
        <w:rPr>
          <w:rFonts w:ascii="Times New Roman" w:hAnsi="Times New Roman" w:cs="Times New Roman"/>
          <w:sz w:val="28"/>
          <w:szCs w:val="28"/>
        </w:rPr>
        <w:t xml:space="preserve">, </w:t>
      </w:r>
      <w:r w:rsidRPr="00F02155">
        <w:rPr>
          <w:rFonts w:ascii="Times New Roman" w:hAnsi="Times New Roman" w:cs="Times New Roman"/>
          <w:sz w:val="28"/>
          <w:szCs w:val="28"/>
        </w:rPr>
        <w:t>а не</w:t>
      </w:r>
      <w:r w:rsidRPr="00F02155">
        <w:rPr>
          <w:rFonts w:ascii="Times New Roman" w:hAnsi="Times New Roman" w:cs="Times New Roman"/>
          <w:sz w:val="28"/>
          <w:szCs w:val="28"/>
        </w:rPr>
        <w:t xml:space="preserve"> </w:t>
      </w:r>
      <w:r w:rsidRPr="00F02155">
        <w:rPr>
          <w:rFonts w:ascii="Times New Roman" w:hAnsi="Times New Roman" w:cs="Times New Roman"/>
          <w:sz w:val="28"/>
          <w:szCs w:val="28"/>
        </w:rPr>
        <w:t>рассматривались как внешние качественные замечания. Это обеспечивает существенно более высокую инженерную пригодность полученных моделей для электротранспорта.</w:t>
      </w:r>
    </w:p>
    <w:p w14:paraId="732935BC" w14:textId="08C558C9" w:rsidR="00F02155" w:rsidRDefault="00F02155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2155">
        <w:rPr>
          <w:rFonts w:ascii="Times New Roman" w:hAnsi="Times New Roman" w:cs="Times New Roman"/>
          <w:sz w:val="28"/>
          <w:szCs w:val="28"/>
        </w:rPr>
        <w:t xml:space="preserve">Восьмым результатом является разработка алгоритма прогнозирования остаточного ресурса для интеграции в </w:t>
      </w:r>
      <w:r w:rsidRPr="00F02155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F02155">
        <w:rPr>
          <w:rFonts w:ascii="Times New Roman" w:hAnsi="Times New Roman" w:cs="Times New Roman"/>
          <w:sz w:val="28"/>
          <w:szCs w:val="28"/>
        </w:rPr>
        <w:t>. В работе предложена</w:t>
      </w:r>
      <w:r w:rsidRPr="00F02155">
        <w:rPr>
          <w:rFonts w:ascii="Times New Roman" w:hAnsi="Times New Roman" w:cs="Times New Roman"/>
          <w:sz w:val="28"/>
          <w:szCs w:val="28"/>
        </w:rPr>
        <w:t xml:space="preserve"> </w:t>
      </w:r>
      <w:r w:rsidRPr="00F02155">
        <w:rPr>
          <w:rFonts w:ascii="Times New Roman" w:hAnsi="Times New Roman" w:cs="Times New Roman"/>
          <w:sz w:val="28"/>
          <w:szCs w:val="28"/>
        </w:rPr>
        <w:t>последовательность вычислительных этапов, включающая сбор эксплуатационных сигналов, выполнение короткого диагностического</w:t>
      </w:r>
      <w:r w:rsidRPr="00F02155">
        <w:rPr>
          <w:rFonts w:ascii="Times New Roman" w:hAnsi="Times New Roman" w:cs="Times New Roman"/>
          <w:sz w:val="28"/>
          <w:szCs w:val="28"/>
        </w:rPr>
        <w:t xml:space="preserve"> </w:t>
      </w:r>
      <w:r w:rsidRPr="00F02155">
        <w:rPr>
          <w:rFonts w:ascii="Times New Roman" w:hAnsi="Times New Roman" w:cs="Times New Roman"/>
          <w:sz w:val="28"/>
          <w:szCs w:val="28"/>
        </w:rPr>
        <w:t>импедансного теста, оценку параметров модели, расчёт интегрального критерия деградации, оценку текущей скорости старения и</w:t>
      </w:r>
      <w:r w:rsidRPr="00F02155">
        <w:rPr>
          <w:rFonts w:ascii="Times New Roman" w:hAnsi="Times New Roman" w:cs="Times New Roman"/>
          <w:sz w:val="28"/>
          <w:szCs w:val="28"/>
        </w:rPr>
        <w:t xml:space="preserve"> </w:t>
      </w:r>
      <w:r w:rsidRPr="00F02155">
        <w:rPr>
          <w:rFonts w:ascii="Times New Roman" w:hAnsi="Times New Roman" w:cs="Times New Roman"/>
          <w:sz w:val="28"/>
          <w:szCs w:val="28"/>
        </w:rPr>
        <w:t>онлайн-обновление прогноза</w:t>
      </w:r>
      <w:r w:rsidRPr="00F02155">
        <w:rPr>
          <w:rFonts w:ascii="Times New Roman" w:hAnsi="Times New Roman" w:cs="Times New Roman"/>
          <w:sz w:val="28"/>
          <w:szCs w:val="28"/>
        </w:rPr>
        <w:t xml:space="preserve"> </w:t>
      </w:r>
      <w:r w:rsidRPr="00F02155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F02155">
        <w:rPr>
          <w:rFonts w:ascii="Times New Roman" w:hAnsi="Times New Roman" w:cs="Times New Roman"/>
          <w:sz w:val="28"/>
          <w:szCs w:val="28"/>
        </w:rPr>
        <w:t xml:space="preserve">. </w:t>
      </w:r>
      <w:r w:rsidRPr="00F02155">
        <w:rPr>
          <w:rFonts w:ascii="Times New Roman" w:hAnsi="Times New Roman" w:cs="Times New Roman"/>
          <w:sz w:val="28"/>
          <w:szCs w:val="28"/>
        </w:rPr>
        <w:t>Тем самым предложена архитектура практической реализации полученных научных результатов.</w:t>
      </w:r>
    </w:p>
    <w:p w14:paraId="586B5D57" w14:textId="7C2DC6FC" w:rsidR="00F02155" w:rsidRDefault="00F02155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2155">
        <w:rPr>
          <w:rFonts w:ascii="Times New Roman" w:hAnsi="Times New Roman" w:cs="Times New Roman"/>
          <w:sz w:val="28"/>
          <w:szCs w:val="28"/>
        </w:rPr>
        <w:t xml:space="preserve">Девятым результатом является экспериментальная верификация предложенного подхода. Для этого сформирована методика импедансных </w:t>
      </w:r>
      <w:r w:rsidRPr="00F02155">
        <w:rPr>
          <w:rFonts w:ascii="Times New Roman" w:hAnsi="Times New Roman" w:cs="Times New Roman"/>
          <w:sz w:val="28"/>
          <w:szCs w:val="28"/>
        </w:rPr>
        <w:lastRenderedPageBreak/>
        <w:t>измерений, расчётно-экспериментальный стенд диагностики, а также система режимных испытаний для нескольких типов батарейных систем: NMC, LFP, LTO и Na-ion. Выполнена параметрическая идентификация модели, показано согласование расчётных и экспериментальных спектров, подтверждена воспроизводимость основных диагностических зависимостей и получена удовлетворительная точность прогноза остаточного ресурса.</w:t>
      </w:r>
    </w:p>
    <w:p w14:paraId="4BDBA6AA" w14:textId="03982A49" w:rsidR="00F02155" w:rsidRDefault="00F02155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2155">
        <w:rPr>
          <w:rFonts w:ascii="Times New Roman" w:hAnsi="Times New Roman" w:cs="Times New Roman"/>
          <w:sz w:val="28"/>
          <w:szCs w:val="28"/>
        </w:rPr>
        <w:t>Десятым результатом является оценка инженерной и экономической эффективности предлагаемого подхода. Показано, что внедрение импедансно-прогностической диагностики позволяет снизить среднюю ошибку оценки ресурса, сократить долю внеплановых замен</w:t>
      </w:r>
      <w:r w:rsidRPr="00F02155">
        <w:rPr>
          <w:rFonts w:ascii="Times New Roman" w:hAnsi="Times New Roman" w:cs="Times New Roman"/>
          <w:sz w:val="28"/>
          <w:szCs w:val="28"/>
        </w:rPr>
        <w:t xml:space="preserve"> </w:t>
      </w:r>
      <w:r w:rsidRPr="00F02155">
        <w:rPr>
          <w:rFonts w:ascii="Times New Roman" w:hAnsi="Times New Roman" w:cs="Times New Roman"/>
          <w:sz w:val="28"/>
          <w:szCs w:val="28"/>
        </w:rPr>
        <w:t>батарей, повысить степень планируемости технического обслуживания и обеспечить положительный экономический эффект за счёт уменьшения аварийных и преждевременных замен дорогостоящих тяговых аккумуляторных систем.</w:t>
      </w:r>
    </w:p>
    <w:p w14:paraId="0914A763" w14:textId="77777777" w:rsidR="00F02155" w:rsidRDefault="00F02155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2A6266" w14:textId="28391199" w:rsidR="00F02155" w:rsidRPr="00F02155" w:rsidRDefault="00F02155" w:rsidP="00F0215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02155">
        <w:rPr>
          <w:rFonts w:ascii="Times New Roman" w:hAnsi="Times New Roman" w:cs="Times New Roman"/>
          <w:b/>
          <w:bCs/>
          <w:sz w:val="28"/>
          <w:szCs w:val="28"/>
        </w:rPr>
        <w:t>2 Основные выводы по работе</w:t>
      </w:r>
    </w:p>
    <w:p w14:paraId="49A52D75" w14:textId="77777777" w:rsidR="00F02155" w:rsidRDefault="00F02155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D640C7" w14:textId="3756DE12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098C">
        <w:rPr>
          <w:rFonts w:ascii="Times New Roman" w:hAnsi="Times New Roman" w:cs="Times New Roman"/>
          <w:sz w:val="28"/>
          <w:szCs w:val="28"/>
        </w:rPr>
        <w:t>Проведённое исследование показало, что традиционные методы оценки состояния тяговых аккумуляторных батарей, основанные преимущественно на анализе напряжения, тока и емкостных характеристик, обладают ограниченной информативностью применительно к задачам ранней диагностики и прогноза остаточного ресурса. Эти методы фиксируют главным образом интегральные внешние проявления деградации, но не обеспечивают достаточного доступа к внутренним электрохимическим и транспортным процессам, определяющим долговечность батареи.</w:t>
      </w:r>
    </w:p>
    <w:p w14:paraId="7F7DB3BD" w14:textId="753F54CA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098C">
        <w:rPr>
          <w:rFonts w:ascii="Times New Roman" w:hAnsi="Times New Roman" w:cs="Times New Roman"/>
          <w:sz w:val="28"/>
          <w:szCs w:val="28"/>
        </w:rPr>
        <w:t xml:space="preserve">Установлено, что электрохимическая импедансная спектроскопия является одним из наиболее информативных инструментов диагностики технического состояния тяговых аккумуляторных батарей, поскольку параметры импеданса имеют прямую связь с физико химическими механизмами старения. Наиболее </w:t>
      </w:r>
      <w:r w:rsidRPr="00F6098C">
        <w:rPr>
          <w:rFonts w:ascii="Times New Roman" w:hAnsi="Times New Roman" w:cs="Times New Roman"/>
          <w:sz w:val="28"/>
          <w:szCs w:val="28"/>
        </w:rPr>
        <w:lastRenderedPageBreak/>
        <w:t>чувствительным параметром в исследованных системах является сопротивление переноса заряда, рост которого отражает деградацию межфазной области, изменение активной поверхности электродов и усложнение электрохимической кинетики.</w:t>
      </w:r>
    </w:p>
    <w:p w14:paraId="42E2C0B7" w14:textId="3C946673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098C">
        <w:rPr>
          <w:rFonts w:ascii="Times New Roman" w:hAnsi="Times New Roman" w:cs="Times New Roman"/>
          <w:sz w:val="28"/>
          <w:szCs w:val="28"/>
        </w:rPr>
        <w:t>Показано, что использование классической EIS в неизменённом лабораторном виде недостаточно для задач электротранспорта, поскольку реальные тяговые батареи работают в условиях выраженной нестационарности: при переменных температурах, токовых пиках, частых переходных процессах, рекуперационных режимах и неполных циклах заряда-разряда. Следовательно, для инженерно корректного прогноза ресурса требуется не просто измерение спектра, а модель, связывающая динамику спектра с реальным эксплуатационным сценарием.</w:t>
      </w:r>
    </w:p>
    <w:p w14:paraId="3EB43569" w14:textId="1916D92D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098C">
        <w:rPr>
          <w:rFonts w:ascii="Times New Roman" w:hAnsi="Times New Roman" w:cs="Times New Roman"/>
          <w:sz w:val="28"/>
          <w:szCs w:val="28"/>
        </w:rPr>
        <w:t>Выявлено, что наиболее адекватной формой описания состояния батареи является интегральный диагностический критерий, формируемый на основе набора импедансных признаков. Такой критерий позволяет перейти от фрагментарного анализа отдельных участков спектра к целостной оценке степени деградации, пригодной как для межхимического сравнения, так и для прогностических расчётов.</w:t>
      </w:r>
    </w:p>
    <w:p w14:paraId="48A82CFB" w14:textId="39E5B7DA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098C">
        <w:rPr>
          <w:rFonts w:ascii="Times New Roman" w:hAnsi="Times New Roman" w:cs="Times New Roman"/>
          <w:sz w:val="28"/>
          <w:szCs w:val="28"/>
        </w:rPr>
        <w:t>Установлено, что остаточный ресурс батареи должен прогнозироваться не как функция одного параметра или одной временной переменной, а как результат совместного действия текущего диагностического состояния и режима дальнейшей эксплуатации. Именно поэтому ресурс в электротранспортной системе носит сценарный характер: при одинаковом текущем состоянии батареи разные транспортные миссии приводят к различным траекториям старения и различному сроку дальнейшей службы.</w:t>
      </w:r>
    </w:p>
    <w:p w14:paraId="51155EBA" w14:textId="6340AE91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098C">
        <w:rPr>
          <w:rFonts w:ascii="Times New Roman" w:hAnsi="Times New Roman" w:cs="Times New Roman"/>
          <w:sz w:val="28"/>
          <w:szCs w:val="28"/>
        </w:rPr>
        <w:t xml:space="preserve">Подтверждено, что включение температурного фактора, токовых пиков, рекуперации, глубины цикла и интенсивности использования в структуру модели значительно повышает её достоверность и эксплуатационную применимость. Это особенно важно для городского, пригородного и специального </w:t>
      </w:r>
      <w:r w:rsidRPr="00F6098C">
        <w:rPr>
          <w:rFonts w:ascii="Times New Roman" w:hAnsi="Times New Roman" w:cs="Times New Roman"/>
          <w:sz w:val="28"/>
          <w:szCs w:val="28"/>
        </w:rPr>
        <w:lastRenderedPageBreak/>
        <w:t>электротранспорта, где режимы движения существенно различаются и, следовательно, различается темп исчерпания ресурса батарейных систем.</w:t>
      </w:r>
    </w:p>
    <w:p w14:paraId="3DCCF154" w14:textId="11F87F33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098C">
        <w:rPr>
          <w:rFonts w:ascii="Times New Roman" w:hAnsi="Times New Roman" w:cs="Times New Roman"/>
          <w:sz w:val="28"/>
          <w:szCs w:val="28"/>
        </w:rPr>
        <w:t>Экспериментальная верификация показала, что предложенный подход обеспечивает удовлетворительное совпадение расчётных и расчётно-экспериментальных импедансных характеристик для различных химических систем. Это свидетельствует о достаточной универсальности разработанной модели и подтверждает возможность переноса общей диагностико-прогностической методологии между разными классами аккумуляторов при корректной калибровке параметров.</w:t>
      </w:r>
    </w:p>
    <w:p w14:paraId="47ECB98F" w14:textId="7962FA6C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098C">
        <w:rPr>
          <w:rFonts w:ascii="Times New Roman" w:hAnsi="Times New Roman" w:cs="Times New Roman"/>
          <w:sz w:val="28"/>
          <w:szCs w:val="28"/>
        </w:rPr>
        <w:t>Сравнение с традиционными подходами подтвердило, что разработанная импедансно-прогностическая схема обеспечивает более высокую точность оценки остаточного ресурса и лучше соответствует реальным условиям эксплуатации электротранспорта. При этом важным преимуществом является не только повышение точности, но и сохранение физической интерпретируемости результатов, что принципиально важно для инженерного использования, обоснования режимных ограничений и принятия решений по техническому обслуживанию</w:t>
      </w:r>
      <w:r w:rsidRPr="00F6098C">
        <w:rPr>
          <w:rFonts w:ascii="Times New Roman" w:hAnsi="Times New Roman" w:cs="Times New Roman"/>
          <w:sz w:val="28"/>
          <w:szCs w:val="28"/>
        </w:rPr>
        <w:t>.</w:t>
      </w:r>
    </w:p>
    <w:p w14:paraId="324D282D" w14:textId="6A89CE6E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098C">
        <w:rPr>
          <w:rFonts w:ascii="Times New Roman" w:hAnsi="Times New Roman" w:cs="Times New Roman"/>
          <w:sz w:val="28"/>
          <w:szCs w:val="28"/>
        </w:rPr>
        <w:t xml:space="preserve">Таким образом, по результатам исследования можно сделать общий вывод о том, что импедансная метрия в электротранспортной постановке, дополненная моделью нестационарной эксплуатации и прогностическим контуром, представляет собой научно обоснованный и </w:t>
      </w:r>
      <w:r w:rsidRPr="00F6098C">
        <w:rPr>
          <w:rFonts w:ascii="Times New Roman" w:hAnsi="Times New Roman" w:cs="Times New Roman"/>
          <w:sz w:val="28"/>
          <w:szCs w:val="28"/>
          <w:highlight w:val="yellow"/>
        </w:rPr>
        <w:t>practically relevant</w:t>
      </w:r>
      <w:r w:rsidRPr="00F6098C">
        <w:rPr>
          <w:rFonts w:ascii="Times New Roman" w:hAnsi="Times New Roman" w:cs="Times New Roman"/>
          <w:sz w:val="28"/>
          <w:szCs w:val="28"/>
        </w:rPr>
        <w:t xml:space="preserve"> инструмент повышения надёжности, ресурсоэффективности и управляемости тяговых аккумуляторных систем.</w:t>
      </w:r>
    </w:p>
    <w:p w14:paraId="08F50B87" w14:textId="77777777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5728D4" w14:textId="0F5156E9" w:rsidR="00F6098C" w:rsidRP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098C">
        <w:rPr>
          <w:rFonts w:ascii="Times New Roman" w:hAnsi="Times New Roman" w:cs="Times New Roman"/>
          <w:b/>
          <w:bCs/>
          <w:sz w:val="28"/>
          <w:szCs w:val="28"/>
        </w:rPr>
        <w:t>3 Соответствие результатов поставленной цели и задачам</w:t>
      </w:r>
    </w:p>
    <w:p w14:paraId="4F86F08B" w14:textId="77777777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4F46C5" w14:textId="79B25225" w:rsidR="00F6098C" w:rsidRP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098C">
        <w:rPr>
          <w:rFonts w:ascii="Times New Roman" w:hAnsi="Times New Roman" w:cs="Times New Roman"/>
          <w:sz w:val="28"/>
          <w:szCs w:val="28"/>
        </w:rPr>
        <w:t xml:space="preserve">Поставленная в диссертации цель заключалась в разработке методов и математических моделей диагностики и прогнозирования остаточного ресурса </w:t>
      </w:r>
      <w:r w:rsidRPr="00F6098C">
        <w:rPr>
          <w:rFonts w:ascii="Times New Roman" w:hAnsi="Times New Roman" w:cs="Times New Roman"/>
          <w:sz w:val="28"/>
          <w:szCs w:val="28"/>
        </w:rPr>
        <w:lastRenderedPageBreak/>
        <w:t>тяговых аккумуляторных батарей электротранспорта на основе анализа комплексного импеданса в нестационарных режимах эксплуатации. По итогам выполненного исследования можно утверждать, что данная цель достигнута</w:t>
      </w:r>
      <w:r w:rsidRPr="00F6098C">
        <w:rPr>
          <w:rFonts w:ascii="Times New Roman" w:hAnsi="Times New Roman" w:cs="Times New Roman"/>
          <w:sz w:val="28"/>
          <w:szCs w:val="28"/>
        </w:rPr>
        <w:t>.</w:t>
      </w:r>
    </w:p>
    <w:p w14:paraId="49F4470C" w14:textId="3099EFC4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098C">
        <w:rPr>
          <w:rFonts w:ascii="Times New Roman" w:hAnsi="Times New Roman" w:cs="Times New Roman"/>
          <w:sz w:val="28"/>
          <w:szCs w:val="28"/>
        </w:rPr>
        <w:t>Первая задача состояла в анализе современного состояния методов диагностики и прогнозирования ресурса тяговых аккумуляторных батарей. Она выполнена в первой главе, где систематизированы существующие подходы, выявлены их ограничения и обоснована необходимость перехода к импедансно-ориентированной прогностической постановке.</w:t>
      </w:r>
    </w:p>
    <w:p w14:paraId="4C1189F8" w14:textId="4D0AB026" w:rsidR="00F6098C" w:rsidRDefault="00F6098C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098C">
        <w:rPr>
          <w:rFonts w:ascii="Times New Roman" w:hAnsi="Times New Roman" w:cs="Times New Roman"/>
          <w:sz w:val="28"/>
          <w:szCs w:val="28"/>
        </w:rPr>
        <w:t>Вторая задача заключалась в исследовании физико-химических механизмов деградации и установлении их связи с параметрами комплексного импеданса. Данная задача решена путём рассмотрения основных механизмов старения различных аккумуляторных систем и дальнейшей интерпретации их проявлений через параметры</w:t>
      </w:r>
      <w:r w:rsidRPr="00F6098C">
        <w:rPr>
          <w:rFonts w:ascii="Times New Roman" w:hAnsi="Times New Roman" w:cs="Times New Roman"/>
          <w:sz w:val="28"/>
          <w:szCs w:val="28"/>
        </w:rPr>
        <w:t xml:space="preserve"> </w:t>
      </w:r>
      <w:r w:rsidR="00884BDB" w:rsidRPr="00134883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884BDB" w:rsidRPr="0013488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Ω</w:t>
      </w:r>
      <w:r w:rsidR="00884BDB" w:rsidRPr="00884BDB">
        <w:rPr>
          <w:rFonts w:ascii="Times New Roman" w:hAnsi="Times New Roman" w:cs="Times New Roman"/>
          <w:sz w:val="28"/>
          <w:szCs w:val="28"/>
        </w:rPr>
        <w:t xml:space="preserve">, </w:t>
      </w:r>
      <w:r w:rsidR="00884BDB" w:rsidRPr="00134883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134883" w:rsidRPr="0013488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884BDB" w:rsidRPr="00884BDB">
        <w:rPr>
          <w:rFonts w:ascii="Times New Roman" w:hAnsi="Times New Roman" w:cs="Times New Roman"/>
          <w:sz w:val="28"/>
          <w:szCs w:val="28"/>
        </w:rPr>
        <w:t xml:space="preserve">, </w:t>
      </w:r>
      <w:r w:rsidR="00134883" w:rsidRPr="00134883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="00884BDB" w:rsidRPr="00884BDB">
        <w:rPr>
          <w:rFonts w:ascii="Times New Roman" w:hAnsi="Times New Roman" w:cs="Times New Roman"/>
          <w:sz w:val="28"/>
          <w:szCs w:val="28"/>
        </w:rPr>
        <w:t xml:space="preserve">, </w:t>
      </w:r>
      <w:r w:rsidR="00134883" w:rsidRPr="00134883">
        <w:rPr>
          <w:rFonts w:ascii="Times New Roman" w:hAnsi="Times New Roman" w:cs="Times New Roman"/>
          <w:i/>
          <w:iCs/>
          <w:sz w:val="28"/>
          <w:szCs w:val="28"/>
        </w:rPr>
        <w:t>τ</w:t>
      </w:r>
      <w:r w:rsidR="00134883" w:rsidRPr="0013488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884BDB" w:rsidRPr="00884BDB">
        <w:rPr>
          <w:rFonts w:ascii="Times New Roman" w:hAnsi="Times New Roman" w:cs="Times New Roman"/>
          <w:sz w:val="28"/>
          <w:szCs w:val="28"/>
        </w:rPr>
        <w:t xml:space="preserve"> </w:t>
      </w:r>
      <w:r w:rsidR="00134883" w:rsidRPr="00134883">
        <w:rPr>
          <w:rFonts w:ascii="Times New Roman" w:hAnsi="Times New Roman" w:cs="Times New Roman"/>
          <w:sz w:val="28"/>
          <w:szCs w:val="28"/>
        </w:rPr>
        <w:t>и связанные спектральные признаки.</w:t>
      </w:r>
    </w:p>
    <w:p w14:paraId="0FE05793" w14:textId="2DBF4E61" w:rsidR="00134883" w:rsidRDefault="00134883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34883">
        <w:rPr>
          <w:rFonts w:ascii="Times New Roman" w:hAnsi="Times New Roman" w:cs="Times New Roman"/>
          <w:sz w:val="28"/>
          <w:szCs w:val="28"/>
        </w:rPr>
        <w:t>Третья задача состояла в разработке теоретической и математической модели комплексного импеданса батареи в виде функции частоты, температуры, состояния заряда и деградации. Эта задача решена во второй главе, где построена модель</w:t>
      </w:r>
    </w:p>
    <w:p w14:paraId="7ABAC14D" w14:textId="77777777" w:rsidR="00134883" w:rsidRDefault="00134883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28A2AB" w14:textId="53611706" w:rsidR="00134883" w:rsidRDefault="00CA1972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A19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100" w:dyaOrig="400" w14:anchorId="6F2BECBD">
          <v:shape id="_x0000_i1030" type="#_x0000_t75" style="width:105.2pt;height:20.05pt" o:ole="">
            <v:imagedata r:id="rId8" o:title=""/>
          </v:shape>
          <o:OLEObject Type="Embed" ProgID="Equation.DSMT4" ShapeID="_x0000_i1030" DrawAspect="Content" ObjectID="_1838530002" r:id="rId9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BDF3352" w14:textId="77777777" w:rsidR="00134883" w:rsidRDefault="00134883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C79DB3" w14:textId="2C45F257" w:rsidR="00CA1972" w:rsidRDefault="00CA1972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A1972">
        <w:rPr>
          <w:rFonts w:ascii="Times New Roman" w:hAnsi="Times New Roman" w:cs="Times New Roman"/>
          <w:sz w:val="28"/>
          <w:szCs w:val="28"/>
        </w:rPr>
        <w:t>сформулированы её основные составляющие и показано, каким образом она должна модифицироваться для условий нестационарной транспортной эксплуатации.</w:t>
      </w:r>
    </w:p>
    <w:p w14:paraId="5B66AFE5" w14:textId="485C34B6" w:rsidR="00CA1972" w:rsidRDefault="00CA1972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A1972">
        <w:rPr>
          <w:rFonts w:ascii="Times New Roman" w:hAnsi="Times New Roman" w:cs="Times New Roman"/>
          <w:sz w:val="28"/>
          <w:szCs w:val="28"/>
        </w:rPr>
        <w:t xml:space="preserve">Четвёртая задача заключалась в формировании диагностических критериев технического состояния аккумуляторной батареи по параметрам импеданса. Она решена в третьей главе, где предложены интегральный </w:t>
      </w:r>
      <w:r w:rsidRPr="00CA1972">
        <w:rPr>
          <w:rFonts w:ascii="Times New Roman" w:hAnsi="Times New Roman" w:cs="Times New Roman"/>
          <w:sz w:val="28"/>
          <w:szCs w:val="28"/>
        </w:rPr>
        <w:lastRenderedPageBreak/>
        <w:t>диагностический критерий, критерий предельного состояния и метод экспресс-оценки</w:t>
      </w:r>
      <w:r w:rsidRPr="00CA1972">
        <w:rPr>
          <w:rFonts w:ascii="Times New Roman" w:hAnsi="Times New Roman" w:cs="Times New Roman"/>
          <w:sz w:val="28"/>
          <w:szCs w:val="28"/>
        </w:rPr>
        <w:t xml:space="preserve"> </w:t>
      </w:r>
      <w:r w:rsidRPr="00CA19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A1972">
        <w:rPr>
          <w:rFonts w:ascii="Times New Roman" w:hAnsi="Times New Roman" w:cs="Times New Roman"/>
          <w:sz w:val="28"/>
          <w:szCs w:val="28"/>
        </w:rPr>
        <w:t xml:space="preserve"> </w:t>
      </w:r>
      <w:r w:rsidRPr="00CA1972">
        <w:rPr>
          <w:rFonts w:ascii="Times New Roman" w:hAnsi="Times New Roman" w:cs="Times New Roman"/>
          <w:sz w:val="28"/>
          <w:szCs w:val="28"/>
        </w:rPr>
        <w:t>по ограниченному набору частот.</w:t>
      </w:r>
    </w:p>
    <w:p w14:paraId="6490C211" w14:textId="45473F6F" w:rsidR="00CA1972" w:rsidRDefault="00CA1972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A1972">
        <w:rPr>
          <w:rFonts w:ascii="Times New Roman" w:hAnsi="Times New Roman" w:cs="Times New Roman"/>
          <w:sz w:val="28"/>
          <w:szCs w:val="28"/>
        </w:rPr>
        <w:t>Пятая задача заключалась в построении модели прогнозирования остаточного ресурса батареи на основе динамики импедансных параметров. Она решена в четвёртой главе, где получены выражения для прогноза</w:t>
      </w:r>
      <w:r w:rsidRPr="00CA1972">
        <w:rPr>
          <w:rFonts w:ascii="Times New Roman" w:hAnsi="Times New Roman" w:cs="Times New Roman"/>
          <w:sz w:val="28"/>
          <w:szCs w:val="28"/>
        </w:rPr>
        <w:t xml:space="preserve"> </w:t>
      </w:r>
      <w:r w:rsidRPr="00CA1972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CA1972">
        <w:rPr>
          <w:rFonts w:ascii="Times New Roman" w:hAnsi="Times New Roman" w:cs="Times New Roman"/>
          <w:sz w:val="28"/>
          <w:szCs w:val="28"/>
        </w:rPr>
        <w:t xml:space="preserve"> </w:t>
      </w:r>
      <w:r w:rsidRPr="00CA1972">
        <w:rPr>
          <w:rFonts w:ascii="Times New Roman" w:hAnsi="Times New Roman" w:cs="Times New Roman"/>
          <w:sz w:val="28"/>
          <w:szCs w:val="28"/>
        </w:rPr>
        <w:t>в циклах и во времени, введены режимно</w:t>
      </w:r>
      <w:r w:rsidRPr="00CA1972">
        <w:rPr>
          <w:rFonts w:ascii="Times New Roman" w:hAnsi="Times New Roman" w:cs="Times New Roman"/>
          <w:sz w:val="28"/>
          <w:szCs w:val="28"/>
        </w:rPr>
        <w:t>-</w:t>
      </w:r>
      <w:r w:rsidRPr="00CA1972">
        <w:rPr>
          <w:rFonts w:ascii="Times New Roman" w:hAnsi="Times New Roman" w:cs="Times New Roman"/>
          <w:sz w:val="28"/>
          <w:szCs w:val="28"/>
        </w:rPr>
        <w:t>зависимые множители и сформирована модель для нестационарных условий эксплуатации.</w:t>
      </w:r>
    </w:p>
    <w:p w14:paraId="04EED305" w14:textId="6F41C308" w:rsidR="00CA1972" w:rsidRDefault="00CA1972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A1972">
        <w:rPr>
          <w:rFonts w:ascii="Times New Roman" w:hAnsi="Times New Roman" w:cs="Times New Roman"/>
          <w:sz w:val="28"/>
          <w:szCs w:val="28"/>
        </w:rPr>
        <w:t>Шестая задача состояла в разработке алгоритма прогноза, пригодного для интеграции в BMS. Эта задача решена в разделе, посвящённом алгоритмической реализации, где предложена структура вычислительного контура, связывающего измеряемые сигналы, диагностические импедансные признаки, критерий деградации и онлайн-оценку остаточного ресурса.</w:t>
      </w:r>
    </w:p>
    <w:p w14:paraId="6D9ACCE8" w14:textId="7EC315DD" w:rsidR="00CA1972" w:rsidRDefault="00CA1972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A1972">
        <w:rPr>
          <w:rFonts w:ascii="Times New Roman" w:hAnsi="Times New Roman" w:cs="Times New Roman"/>
          <w:sz w:val="28"/>
          <w:szCs w:val="28"/>
        </w:rPr>
        <w:t>Седьмая задача заключалась в экспериментальной верификации разработанных моделей и критериев. Она выполнена в пятой главе посредством формирования методики измерений, создания экспериментального стенда, проведения параметрической идентификации и сопоставления расчётных и расчётно-экспериментальных результатов.</w:t>
      </w:r>
    </w:p>
    <w:p w14:paraId="3366E434" w14:textId="5D557914" w:rsidR="00CA1972" w:rsidRDefault="00CA1972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A1972">
        <w:rPr>
          <w:rFonts w:ascii="Times New Roman" w:hAnsi="Times New Roman" w:cs="Times New Roman"/>
          <w:sz w:val="28"/>
          <w:szCs w:val="28"/>
        </w:rPr>
        <w:t>Восьмая задача состояла в разработке рекомендаций по практическому применению полученных результатов. Она решена через формирование инженерной схемы внедрения в BMS, описание режима использования прогностического модуля и выполнение расчётов технической и экономической эффективности.</w:t>
      </w:r>
    </w:p>
    <w:p w14:paraId="369F8404" w14:textId="75FB6303" w:rsidR="00CA1972" w:rsidRDefault="00CA1972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A1972">
        <w:rPr>
          <w:rFonts w:ascii="Times New Roman" w:hAnsi="Times New Roman" w:cs="Times New Roman"/>
          <w:sz w:val="28"/>
          <w:szCs w:val="28"/>
        </w:rPr>
        <w:t>Следовательно, все задачи, сформулированные во введении, нашли решение в ходе диссертационного исследования, а результаты каждой главы последовательно работают на достижение общей цели работы.</w:t>
      </w:r>
    </w:p>
    <w:p w14:paraId="598C08DD" w14:textId="77777777" w:rsidR="00CA1972" w:rsidRDefault="00CA1972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047692" w14:textId="23262B8B" w:rsidR="00CA1972" w:rsidRP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432E">
        <w:rPr>
          <w:rFonts w:ascii="Times New Roman" w:hAnsi="Times New Roman" w:cs="Times New Roman"/>
          <w:b/>
          <w:bCs/>
          <w:sz w:val="28"/>
          <w:szCs w:val="28"/>
        </w:rPr>
        <w:t>4 Рекомендации по практическому использованию результатов</w:t>
      </w:r>
    </w:p>
    <w:p w14:paraId="685CA695" w14:textId="77777777" w:rsidR="00CA1972" w:rsidRDefault="00CA1972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E8DD432" w14:textId="61CF81DB" w:rsid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432E">
        <w:rPr>
          <w:rFonts w:ascii="Times New Roman" w:hAnsi="Times New Roman" w:cs="Times New Roman"/>
          <w:sz w:val="28"/>
          <w:szCs w:val="28"/>
        </w:rPr>
        <w:t>Полученные результаты целесообразно использовать, прежде всего, в системах управления тяговыми аккумуляторными батареями электротранспорта. Разработанная модель и алгоритм прогноза могут быть интегрированы в BMS как дополнительный модуль диагностики и оценки остаточного ресурса. В этом случае система получает возможность не только контролировать текущие параметры батареи, но и прогнозировать остаточный срок её эффективной эксплуатации с учётом реального режима использования транспортного средства.</w:t>
      </w:r>
    </w:p>
    <w:p w14:paraId="67579F99" w14:textId="59BCA842" w:rsid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432E">
        <w:rPr>
          <w:rFonts w:ascii="Times New Roman" w:hAnsi="Times New Roman" w:cs="Times New Roman"/>
          <w:sz w:val="28"/>
          <w:szCs w:val="28"/>
        </w:rPr>
        <w:t>Для предприятий городского электротранспорта, операторов электробусов, коммунального и специального электротранспорта разработанный подход рекомендуется использовать как основу для перехода от реактивной и календарно-нормативной схемы обслуживания батарей к состоянию-ориентированному и прогностическому обслуживанию. Это позволит снизить число внеплановых отказов, более рационально планировать замену батарейных модулей и уменьшить риск преждевременного списания батарей, ещё не исчерпавших эксплуатационный ресурс.</w:t>
      </w:r>
    </w:p>
    <w:p w14:paraId="76486EE3" w14:textId="292FB8E5" w:rsid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432E">
        <w:rPr>
          <w:rFonts w:ascii="Times New Roman" w:hAnsi="Times New Roman" w:cs="Times New Roman"/>
          <w:sz w:val="28"/>
          <w:szCs w:val="28"/>
        </w:rPr>
        <w:t>В условиях испытательных лабораторий и инженерных центров результаты диссертации могут быть использованы для формирования регламентов импедансной диагностики тяговых батарей, включая выбор частотного диапазона, уровней</w:t>
      </w:r>
      <w:r w:rsidRPr="003B432E">
        <w:rPr>
          <w:rFonts w:ascii="Times New Roman" w:hAnsi="Times New Roman" w:cs="Times New Roman"/>
          <w:sz w:val="28"/>
          <w:szCs w:val="28"/>
        </w:rPr>
        <w:t xml:space="preserve"> </w:t>
      </w:r>
      <w:r w:rsidRPr="003B432E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3B432E">
        <w:rPr>
          <w:rFonts w:ascii="Times New Roman" w:hAnsi="Times New Roman" w:cs="Times New Roman"/>
          <w:sz w:val="28"/>
          <w:szCs w:val="28"/>
        </w:rPr>
        <w:t xml:space="preserve">, </w:t>
      </w:r>
      <w:r w:rsidRPr="003B432E">
        <w:rPr>
          <w:rFonts w:ascii="Times New Roman" w:hAnsi="Times New Roman" w:cs="Times New Roman"/>
          <w:sz w:val="28"/>
          <w:szCs w:val="28"/>
        </w:rPr>
        <w:t>температурных режимов,</w:t>
      </w:r>
      <w:r w:rsidRPr="003B432E">
        <w:rPr>
          <w:rFonts w:ascii="Times New Roman" w:hAnsi="Times New Roman" w:cs="Times New Roman"/>
          <w:sz w:val="28"/>
          <w:szCs w:val="28"/>
        </w:rPr>
        <w:t xml:space="preserve"> </w:t>
      </w:r>
      <w:r w:rsidRPr="003B432E">
        <w:rPr>
          <w:rFonts w:ascii="Times New Roman" w:hAnsi="Times New Roman" w:cs="Times New Roman"/>
          <w:sz w:val="28"/>
          <w:szCs w:val="28"/>
        </w:rPr>
        <w:t>структуры испытательной выборки и схемы последующей обработки данных. Особенно полезной является предложенная двухуровневая схема, в которой полный спектральный анализ сочетается с сокращённым набором диагностических частот для быстрых режимов оценки.</w:t>
      </w:r>
    </w:p>
    <w:p w14:paraId="1FA28011" w14:textId="53D0D307" w:rsid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432E">
        <w:rPr>
          <w:rFonts w:ascii="Times New Roman" w:hAnsi="Times New Roman" w:cs="Times New Roman"/>
          <w:sz w:val="28"/>
          <w:szCs w:val="28"/>
        </w:rPr>
        <w:t xml:space="preserve">Для производителей и разработчиков батарейных систем результаты работы представляют интерес как основа для сравнительного анализа различных химических систем с точки зрения их импедансной деградации и транспортной пригодности. Использование единой диагностической рамки для NMC, LFP, LTO </w:t>
      </w:r>
      <w:r w:rsidRPr="003B432E">
        <w:rPr>
          <w:rFonts w:ascii="Times New Roman" w:hAnsi="Times New Roman" w:cs="Times New Roman"/>
          <w:sz w:val="28"/>
          <w:szCs w:val="28"/>
        </w:rPr>
        <w:lastRenderedPageBreak/>
        <w:t>и Na-ion систем позволяет принимать более обоснованные решения при выборе типа батареи под конкретную транспортную миссию.</w:t>
      </w:r>
    </w:p>
    <w:p w14:paraId="1E37AA40" w14:textId="4B606377" w:rsid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432E">
        <w:rPr>
          <w:rFonts w:ascii="Times New Roman" w:hAnsi="Times New Roman" w:cs="Times New Roman"/>
          <w:sz w:val="28"/>
          <w:szCs w:val="28"/>
        </w:rPr>
        <w:t xml:space="preserve">В сфере эксплуатации целесообразно использовать предложенную модель для формирования цифровых «карт ресурса» батарейного парка. При наличии достаточного объёма эксплуатационных данных это позволит ранжировать батареи по степени риска, </w:t>
      </w:r>
      <w:r w:rsidRPr="003B432E">
        <w:rPr>
          <w:rFonts w:ascii="Times New Roman" w:hAnsi="Times New Roman" w:cs="Times New Roman"/>
          <w:sz w:val="28"/>
          <w:szCs w:val="28"/>
          <w:highlight w:val="yellow"/>
        </w:rPr>
        <w:t>ресурсоостатку</w:t>
      </w:r>
      <w:r w:rsidRPr="003B432E">
        <w:rPr>
          <w:rFonts w:ascii="Times New Roman" w:hAnsi="Times New Roman" w:cs="Times New Roman"/>
          <w:sz w:val="28"/>
          <w:szCs w:val="28"/>
        </w:rPr>
        <w:t>, тяжести текущей транспортной миссии и вероятности скорого выхода на предельное состояние. Подобная практика особенно полезна для предприятий с большим числом однотипных транспортных единиц.</w:t>
      </w:r>
    </w:p>
    <w:p w14:paraId="16CD43E0" w14:textId="0F078D33" w:rsid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432E">
        <w:rPr>
          <w:rFonts w:ascii="Times New Roman" w:hAnsi="Times New Roman" w:cs="Times New Roman"/>
          <w:sz w:val="28"/>
          <w:szCs w:val="28"/>
        </w:rPr>
        <w:t>Полученные результаты также могут быть использованы в образовательной и исследовательской практике — при подготовке магистров, аспирантов и инженерно-технических специалистов в области электротехнических комплексов, электротранспорта, батарейных систем и интеллектуальных систем управления накопителями энергии. Работа задаёт методологическую рамку, объединяющую электрохимическую физику, импедансную диагностику, математическое моделирование и инженерную эксплуатацию.</w:t>
      </w:r>
    </w:p>
    <w:p w14:paraId="31D7797B" w14:textId="363EC96A" w:rsid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432E">
        <w:rPr>
          <w:rFonts w:ascii="Times New Roman" w:hAnsi="Times New Roman" w:cs="Times New Roman"/>
          <w:sz w:val="28"/>
          <w:szCs w:val="28"/>
        </w:rPr>
        <w:t>С экономической точки зрения рекомендуется использовать результаты диссертации при обосновании пилотных проектов по внедрению прогностической диагностики батарей на транспортных предприятиях. Показанный в работе экономический эффект позволяет</w:t>
      </w:r>
      <w:r w:rsidRPr="003B432E">
        <w:rPr>
          <w:rFonts w:ascii="Times New Roman" w:hAnsi="Times New Roman" w:cs="Times New Roman"/>
          <w:sz w:val="28"/>
          <w:szCs w:val="28"/>
        </w:rPr>
        <w:t xml:space="preserve"> </w:t>
      </w:r>
      <w:r w:rsidRPr="003B432E">
        <w:rPr>
          <w:rFonts w:ascii="Times New Roman" w:hAnsi="Times New Roman" w:cs="Times New Roman"/>
          <w:sz w:val="28"/>
          <w:szCs w:val="28"/>
        </w:rPr>
        <w:t>использовать разработанные модели как часть технико-экономического обоснования модернизации существующих BMS и систем сервисного сопровождения.</w:t>
      </w:r>
    </w:p>
    <w:p w14:paraId="49E2DD27" w14:textId="77777777" w:rsid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D0A70B1" w14:textId="0D9B7E3D" w:rsidR="003B432E" w:rsidRP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B432E">
        <w:rPr>
          <w:rFonts w:ascii="Times New Roman" w:hAnsi="Times New Roman" w:cs="Times New Roman"/>
          <w:b/>
          <w:bCs/>
          <w:sz w:val="28"/>
          <w:szCs w:val="28"/>
        </w:rPr>
        <w:t>5 Перспективы дальнейших исследований</w:t>
      </w:r>
    </w:p>
    <w:p w14:paraId="5D913FA7" w14:textId="77777777" w:rsid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4AA329" w14:textId="26BFDA56" w:rsid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432E">
        <w:rPr>
          <w:rFonts w:ascii="Times New Roman" w:hAnsi="Times New Roman" w:cs="Times New Roman"/>
          <w:sz w:val="28"/>
          <w:szCs w:val="28"/>
        </w:rPr>
        <w:t>Несмотря на завершённость выполненного исследования, полученные результаты открывают ряд направлений для дальнейшего развития.</w:t>
      </w:r>
    </w:p>
    <w:p w14:paraId="6EBCC3F1" w14:textId="7547D346" w:rsidR="003B432E" w:rsidRPr="003B432E" w:rsidRDefault="003B432E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7CC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Первым</w:t>
      </w:r>
      <w:r w:rsidRPr="003B432E">
        <w:rPr>
          <w:rFonts w:ascii="Times New Roman" w:hAnsi="Times New Roman" w:cs="Times New Roman"/>
          <w:sz w:val="28"/>
          <w:szCs w:val="28"/>
        </w:rPr>
        <w:t xml:space="preserve"> перспективным направлением является расширение экспериментальной базы за счёт длительных ресурсных испытаний батарейных модулей и батарейных пакетов в более широком спектре транспортных миссий. В частности, представляет интерес накопление </w:t>
      </w:r>
      <w:r w:rsidRPr="003B432E">
        <w:rPr>
          <w:rFonts w:ascii="Times New Roman" w:hAnsi="Times New Roman" w:cs="Times New Roman"/>
          <w:sz w:val="28"/>
          <w:szCs w:val="28"/>
          <w:highlight w:val="yellow"/>
        </w:rPr>
        <w:t>long-run</w:t>
      </w:r>
      <w:r w:rsidRPr="003B432E">
        <w:rPr>
          <w:rFonts w:ascii="Times New Roman" w:hAnsi="Times New Roman" w:cs="Times New Roman"/>
          <w:sz w:val="28"/>
          <w:szCs w:val="28"/>
        </w:rPr>
        <w:t xml:space="preserve"> данных для сезонной эксплуатации, смешанных городских и пригородных маршрутов, а также для тяжёлых режимов, включающих регулярные токовые пики и пониженные температуры</w:t>
      </w:r>
    </w:p>
    <w:p w14:paraId="61B7A15E" w14:textId="0BECE5FD" w:rsidR="003B432E" w:rsidRDefault="005F7CC0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7CC0">
        <w:rPr>
          <w:rFonts w:ascii="Times New Roman" w:hAnsi="Times New Roman" w:cs="Times New Roman"/>
          <w:b/>
          <w:bCs/>
          <w:sz w:val="28"/>
          <w:szCs w:val="28"/>
        </w:rPr>
        <w:t>Вторым</w:t>
      </w:r>
      <w:r w:rsidRPr="005F7CC0">
        <w:rPr>
          <w:rFonts w:ascii="Times New Roman" w:hAnsi="Times New Roman" w:cs="Times New Roman"/>
          <w:sz w:val="28"/>
          <w:szCs w:val="28"/>
        </w:rPr>
        <w:t xml:space="preserve"> направлением является дальнейшее развитие модели межэлементной неоднородности. В настоящей работе батарейная система рассматривалась преимущественно на уровне элемента, модуля и агрегированных параметров. Между тем для крупных тяговых батарей существенное значение имеют дисбаланс элементов, температурная неравномерность и различие локальных режимов старения. Развитие этого направления может привести к созданию распределённых импедансно-прогностических моделей батарейного пакета.</w:t>
      </w:r>
    </w:p>
    <w:p w14:paraId="1B56F58D" w14:textId="7CA45952" w:rsidR="005F7CC0" w:rsidRDefault="005F7CC0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7CC0">
        <w:rPr>
          <w:rFonts w:ascii="Times New Roman" w:hAnsi="Times New Roman" w:cs="Times New Roman"/>
          <w:b/>
          <w:bCs/>
          <w:sz w:val="28"/>
          <w:szCs w:val="28"/>
        </w:rPr>
        <w:t>Третьим</w:t>
      </w:r>
      <w:r w:rsidRPr="005F7CC0">
        <w:rPr>
          <w:rFonts w:ascii="Times New Roman" w:hAnsi="Times New Roman" w:cs="Times New Roman"/>
          <w:sz w:val="28"/>
          <w:szCs w:val="28"/>
        </w:rPr>
        <w:t xml:space="preserve"> направлением является развитие методов онлайн-оценки импедансных параметров без выделенного диагностического окна. Это особенно важно для подвижного состава с высокой эксплуатационной плотностью, где проведение даже коротких специальных EIS сеансов ограничено режимом работы. Перспективной является разработка алгоритмов извлечения импедансно-подобных признаков непосредственно из естественных переходных процессов тяговой системы.</w:t>
      </w:r>
    </w:p>
    <w:p w14:paraId="112C6810" w14:textId="11997536" w:rsidR="005F7CC0" w:rsidRDefault="005F7CC0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7CC0">
        <w:rPr>
          <w:rFonts w:ascii="Times New Roman" w:hAnsi="Times New Roman" w:cs="Times New Roman"/>
          <w:b/>
          <w:bCs/>
          <w:sz w:val="28"/>
          <w:szCs w:val="28"/>
        </w:rPr>
        <w:t>Четвёртым</w:t>
      </w:r>
      <w:r w:rsidRPr="005F7CC0">
        <w:rPr>
          <w:rFonts w:ascii="Times New Roman" w:hAnsi="Times New Roman" w:cs="Times New Roman"/>
          <w:sz w:val="28"/>
          <w:szCs w:val="28"/>
        </w:rPr>
        <w:t xml:space="preserve"> перспективным направлением является интеграция импедансно-прогностической модели с методами машинного обучения, но не в виде замены физической модели на «чёрный ящик», а в виде гибридной архитектуры. В таком случае физически интерпретируемые импедансные признаки могут использоваться как информативное ядро, а </w:t>
      </w:r>
      <w:r w:rsidRPr="005F7C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5F7CC0">
        <w:rPr>
          <w:rFonts w:ascii="Times New Roman" w:hAnsi="Times New Roman" w:cs="Times New Roman"/>
          <w:sz w:val="28"/>
          <w:szCs w:val="28"/>
        </w:rPr>
        <w:t xml:space="preserve"> надстройка — как средство адаптации модели к большим массивам эксплуатационных данных и к межпарковым различиям условий использования.</w:t>
      </w:r>
    </w:p>
    <w:p w14:paraId="73E00C11" w14:textId="029D1322" w:rsidR="005F7CC0" w:rsidRDefault="005F7CC0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7CC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Пятым</w:t>
      </w:r>
      <w:r w:rsidRPr="005F7CC0">
        <w:rPr>
          <w:rFonts w:ascii="Times New Roman" w:hAnsi="Times New Roman" w:cs="Times New Roman"/>
          <w:sz w:val="28"/>
          <w:szCs w:val="28"/>
        </w:rPr>
        <w:t xml:space="preserve"> направлением является развитие экономико-эксплуатационного блока модели. В дальнейшем представляется целесообразным расширить расчёты за счёт учёта стоимости недовыпуска транспорта на линию, влияния режима эксплуатации на остаточную стоимость батареи, сценариев </w:t>
      </w:r>
      <w:r w:rsidRPr="005F7CC0">
        <w:rPr>
          <w:rFonts w:ascii="Times New Roman" w:hAnsi="Times New Roman" w:cs="Times New Roman"/>
          <w:sz w:val="28"/>
          <w:szCs w:val="28"/>
          <w:highlight w:val="yellow"/>
        </w:rPr>
        <w:t>second-life использования</w:t>
      </w:r>
      <w:r w:rsidRPr="005F7CC0">
        <w:rPr>
          <w:rFonts w:ascii="Times New Roman" w:hAnsi="Times New Roman" w:cs="Times New Roman"/>
          <w:sz w:val="28"/>
          <w:szCs w:val="28"/>
        </w:rPr>
        <w:t xml:space="preserve"> батарейных систем и интеграции прогноза ресурса в более широкий жизненный цикл транспортного предприятия.</w:t>
      </w:r>
    </w:p>
    <w:p w14:paraId="35565A4B" w14:textId="0E4120E7" w:rsidR="005F7CC0" w:rsidRDefault="005F7CC0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7CC0">
        <w:rPr>
          <w:rFonts w:ascii="Times New Roman" w:hAnsi="Times New Roman" w:cs="Times New Roman"/>
          <w:b/>
          <w:bCs/>
          <w:sz w:val="28"/>
          <w:szCs w:val="28"/>
        </w:rPr>
        <w:t>Шестым</w:t>
      </w:r>
      <w:r w:rsidRPr="005F7CC0">
        <w:rPr>
          <w:rFonts w:ascii="Times New Roman" w:hAnsi="Times New Roman" w:cs="Times New Roman"/>
          <w:sz w:val="28"/>
          <w:szCs w:val="28"/>
        </w:rPr>
        <w:t xml:space="preserve"> направлением является расширение набора исследуемых химических систем и режимов их сравнения. Особый интерес представляют новые поколения натрий-ионных, твердотельных и гибридных батарейных систем, для которых импедансная диагностика потенциально может стать одним из ключевых средств сравнительного анализа транспортной применимости.</w:t>
      </w:r>
    </w:p>
    <w:p w14:paraId="64BD5013" w14:textId="19F5D34D" w:rsidR="005F7CC0" w:rsidRDefault="005F7CC0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7CC0">
        <w:rPr>
          <w:rFonts w:ascii="Times New Roman" w:hAnsi="Times New Roman" w:cs="Times New Roman"/>
          <w:b/>
          <w:bCs/>
          <w:sz w:val="28"/>
          <w:szCs w:val="28"/>
        </w:rPr>
        <w:t>Седьмым</w:t>
      </w:r>
      <w:r w:rsidRPr="005F7CC0">
        <w:rPr>
          <w:rFonts w:ascii="Times New Roman" w:hAnsi="Times New Roman" w:cs="Times New Roman"/>
          <w:sz w:val="28"/>
          <w:szCs w:val="28"/>
        </w:rPr>
        <w:t xml:space="preserve"> направлением является развитие нормативной и регламентной базы. Результаты диссертации могут лечь в основу стандартов и отраслевых рекомендаций по проведению импедансной диагностики тяговых батарей электротранспорта, формированию диагностических порогов, критериям предельного состояния и правилам использования прогностических оценок в эксплуатационной практике.</w:t>
      </w:r>
    </w:p>
    <w:p w14:paraId="524B95F2" w14:textId="403E7CC7" w:rsidR="005F7CC0" w:rsidRPr="005F7CC0" w:rsidRDefault="005F7CC0" w:rsidP="00F02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7CC0">
        <w:rPr>
          <w:rFonts w:ascii="Times New Roman" w:hAnsi="Times New Roman" w:cs="Times New Roman"/>
          <w:sz w:val="28"/>
          <w:szCs w:val="28"/>
        </w:rPr>
        <w:t>Таким образом, проведённое исследование не только решает поставленную научную задачу, но и формирует основу для дальнейшего развития нового направления — импедансно-прогностической метрии тяговых аккумуляторных батарей электротранспорта, ориентированной на реальные нестационарные условия эксплуатации, инженерную реализуемость и ресурсоэффективное управление батарейными системами</w:t>
      </w:r>
      <w:r w:rsidRPr="005F7CC0">
        <w:rPr>
          <w:rFonts w:ascii="Times New Roman" w:hAnsi="Times New Roman" w:cs="Times New Roman"/>
          <w:sz w:val="28"/>
          <w:szCs w:val="28"/>
        </w:rPr>
        <w:t>.</w:t>
      </w:r>
    </w:p>
    <w:sectPr w:rsidR="005F7CC0" w:rsidRPr="005F7CC0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0"/>
  </w:num>
  <w:num w:numId="2" w16cid:durableId="1817649899">
    <w:abstractNumId w:val="5"/>
  </w:num>
  <w:num w:numId="3" w16cid:durableId="1173373436">
    <w:abstractNumId w:val="2"/>
  </w:num>
  <w:num w:numId="4" w16cid:durableId="266350250">
    <w:abstractNumId w:val="1"/>
  </w:num>
  <w:num w:numId="5" w16cid:durableId="1895386371">
    <w:abstractNumId w:val="3"/>
  </w:num>
  <w:num w:numId="6" w16cid:durableId="1867982396">
    <w:abstractNumId w:val="7"/>
  </w:num>
  <w:num w:numId="7" w16cid:durableId="863178132">
    <w:abstractNumId w:val="4"/>
  </w:num>
  <w:num w:numId="8" w16cid:durableId="2023506409">
    <w:abstractNumId w:val="8"/>
  </w:num>
  <w:num w:numId="9" w16cid:durableId="3486810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21643"/>
    <w:rsid w:val="00031DF2"/>
    <w:rsid w:val="000325D8"/>
    <w:rsid w:val="00061A05"/>
    <w:rsid w:val="0007376D"/>
    <w:rsid w:val="0008035D"/>
    <w:rsid w:val="000827A2"/>
    <w:rsid w:val="00093D8D"/>
    <w:rsid w:val="000A004B"/>
    <w:rsid w:val="000B7EAC"/>
    <w:rsid w:val="000D1017"/>
    <w:rsid w:val="000E7EAE"/>
    <w:rsid w:val="00110782"/>
    <w:rsid w:val="00110D50"/>
    <w:rsid w:val="00116F2B"/>
    <w:rsid w:val="00123A52"/>
    <w:rsid w:val="00126604"/>
    <w:rsid w:val="001304D0"/>
    <w:rsid w:val="00134883"/>
    <w:rsid w:val="00141ED6"/>
    <w:rsid w:val="00147027"/>
    <w:rsid w:val="00147162"/>
    <w:rsid w:val="001602D9"/>
    <w:rsid w:val="001614F9"/>
    <w:rsid w:val="00162B8E"/>
    <w:rsid w:val="001759E4"/>
    <w:rsid w:val="00193DC0"/>
    <w:rsid w:val="00194121"/>
    <w:rsid w:val="001B7A97"/>
    <w:rsid w:val="001F0927"/>
    <w:rsid w:val="00206663"/>
    <w:rsid w:val="002139A3"/>
    <w:rsid w:val="0021675A"/>
    <w:rsid w:val="00222920"/>
    <w:rsid w:val="002358CD"/>
    <w:rsid w:val="00242C76"/>
    <w:rsid w:val="002616AB"/>
    <w:rsid w:val="00277B04"/>
    <w:rsid w:val="0028107E"/>
    <w:rsid w:val="0028792F"/>
    <w:rsid w:val="002A4899"/>
    <w:rsid w:val="002A4D23"/>
    <w:rsid w:val="002A4FF1"/>
    <w:rsid w:val="002A657A"/>
    <w:rsid w:val="002B1F3B"/>
    <w:rsid w:val="002B5968"/>
    <w:rsid w:val="002C18E0"/>
    <w:rsid w:val="002C7B6C"/>
    <w:rsid w:val="002D41D3"/>
    <w:rsid w:val="002D4A79"/>
    <w:rsid w:val="002F2C01"/>
    <w:rsid w:val="00320211"/>
    <w:rsid w:val="00331993"/>
    <w:rsid w:val="00340B36"/>
    <w:rsid w:val="00351285"/>
    <w:rsid w:val="00356165"/>
    <w:rsid w:val="00356877"/>
    <w:rsid w:val="00361815"/>
    <w:rsid w:val="003906B2"/>
    <w:rsid w:val="00393D50"/>
    <w:rsid w:val="00394B22"/>
    <w:rsid w:val="003A5AEA"/>
    <w:rsid w:val="003A646E"/>
    <w:rsid w:val="003B432E"/>
    <w:rsid w:val="003B6EAE"/>
    <w:rsid w:val="003B7B25"/>
    <w:rsid w:val="003D3875"/>
    <w:rsid w:val="003E2E09"/>
    <w:rsid w:val="003E7F28"/>
    <w:rsid w:val="004015C2"/>
    <w:rsid w:val="00417535"/>
    <w:rsid w:val="00426939"/>
    <w:rsid w:val="00441D61"/>
    <w:rsid w:val="00453D55"/>
    <w:rsid w:val="00462264"/>
    <w:rsid w:val="00473BD3"/>
    <w:rsid w:val="00474A30"/>
    <w:rsid w:val="004B5BBF"/>
    <w:rsid w:val="004B68AE"/>
    <w:rsid w:val="004D7061"/>
    <w:rsid w:val="004E73D4"/>
    <w:rsid w:val="005047D2"/>
    <w:rsid w:val="00505539"/>
    <w:rsid w:val="00507907"/>
    <w:rsid w:val="00515AA3"/>
    <w:rsid w:val="00537684"/>
    <w:rsid w:val="00541074"/>
    <w:rsid w:val="0056469F"/>
    <w:rsid w:val="005763C3"/>
    <w:rsid w:val="00581049"/>
    <w:rsid w:val="00581551"/>
    <w:rsid w:val="005815A9"/>
    <w:rsid w:val="00592D1B"/>
    <w:rsid w:val="005C227D"/>
    <w:rsid w:val="005D1729"/>
    <w:rsid w:val="005D32F1"/>
    <w:rsid w:val="005D61EC"/>
    <w:rsid w:val="005E51FC"/>
    <w:rsid w:val="005F7CC0"/>
    <w:rsid w:val="00607463"/>
    <w:rsid w:val="006159CC"/>
    <w:rsid w:val="00615E2B"/>
    <w:rsid w:val="0062023B"/>
    <w:rsid w:val="00622012"/>
    <w:rsid w:val="006241C1"/>
    <w:rsid w:val="00624857"/>
    <w:rsid w:val="006270BF"/>
    <w:rsid w:val="0062724D"/>
    <w:rsid w:val="00651AA9"/>
    <w:rsid w:val="00651F8E"/>
    <w:rsid w:val="00654960"/>
    <w:rsid w:val="00664B88"/>
    <w:rsid w:val="006765D7"/>
    <w:rsid w:val="006769B4"/>
    <w:rsid w:val="00684B83"/>
    <w:rsid w:val="00690F2A"/>
    <w:rsid w:val="006A24C3"/>
    <w:rsid w:val="006B6106"/>
    <w:rsid w:val="006D6B85"/>
    <w:rsid w:val="006E4AB9"/>
    <w:rsid w:val="006F49B8"/>
    <w:rsid w:val="007035FD"/>
    <w:rsid w:val="007066E1"/>
    <w:rsid w:val="007111AC"/>
    <w:rsid w:val="007147D4"/>
    <w:rsid w:val="00714ABB"/>
    <w:rsid w:val="00741AF1"/>
    <w:rsid w:val="00760A0D"/>
    <w:rsid w:val="00770FC8"/>
    <w:rsid w:val="00796AA0"/>
    <w:rsid w:val="007A4BA2"/>
    <w:rsid w:val="007B4924"/>
    <w:rsid w:val="007C7DAD"/>
    <w:rsid w:val="007E1114"/>
    <w:rsid w:val="007F76A4"/>
    <w:rsid w:val="008262A5"/>
    <w:rsid w:val="00832752"/>
    <w:rsid w:val="0084020D"/>
    <w:rsid w:val="00845853"/>
    <w:rsid w:val="00854645"/>
    <w:rsid w:val="00865BBC"/>
    <w:rsid w:val="0087489C"/>
    <w:rsid w:val="008776EE"/>
    <w:rsid w:val="008806E8"/>
    <w:rsid w:val="008815CB"/>
    <w:rsid w:val="00884BDB"/>
    <w:rsid w:val="00885A97"/>
    <w:rsid w:val="00892BEC"/>
    <w:rsid w:val="00895C07"/>
    <w:rsid w:val="008A782A"/>
    <w:rsid w:val="008C247C"/>
    <w:rsid w:val="008C2C58"/>
    <w:rsid w:val="008C72D1"/>
    <w:rsid w:val="008E3C59"/>
    <w:rsid w:val="008E4359"/>
    <w:rsid w:val="008E4984"/>
    <w:rsid w:val="008F3639"/>
    <w:rsid w:val="008F643C"/>
    <w:rsid w:val="00901DBF"/>
    <w:rsid w:val="00905695"/>
    <w:rsid w:val="00910019"/>
    <w:rsid w:val="00914F21"/>
    <w:rsid w:val="00927FAB"/>
    <w:rsid w:val="00931203"/>
    <w:rsid w:val="00943D79"/>
    <w:rsid w:val="00947DDC"/>
    <w:rsid w:val="00960CFC"/>
    <w:rsid w:val="00972CF7"/>
    <w:rsid w:val="009761FB"/>
    <w:rsid w:val="009862F4"/>
    <w:rsid w:val="00987B84"/>
    <w:rsid w:val="00993ACA"/>
    <w:rsid w:val="009A0BF5"/>
    <w:rsid w:val="009B5CC0"/>
    <w:rsid w:val="009C73A4"/>
    <w:rsid w:val="009E2D0F"/>
    <w:rsid w:val="00A01B55"/>
    <w:rsid w:val="00A26AE9"/>
    <w:rsid w:val="00A26B7B"/>
    <w:rsid w:val="00A3109E"/>
    <w:rsid w:val="00A41681"/>
    <w:rsid w:val="00A51AB9"/>
    <w:rsid w:val="00A573A9"/>
    <w:rsid w:val="00A64406"/>
    <w:rsid w:val="00A678C9"/>
    <w:rsid w:val="00A73453"/>
    <w:rsid w:val="00A76EA8"/>
    <w:rsid w:val="00A7709D"/>
    <w:rsid w:val="00A83D65"/>
    <w:rsid w:val="00A84028"/>
    <w:rsid w:val="00A849C1"/>
    <w:rsid w:val="00AC37DB"/>
    <w:rsid w:val="00AC57A6"/>
    <w:rsid w:val="00AD6898"/>
    <w:rsid w:val="00B154A1"/>
    <w:rsid w:val="00B22AC9"/>
    <w:rsid w:val="00B37C45"/>
    <w:rsid w:val="00B56BFE"/>
    <w:rsid w:val="00B77616"/>
    <w:rsid w:val="00B93DE5"/>
    <w:rsid w:val="00BA643E"/>
    <w:rsid w:val="00BB5F49"/>
    <w:rsid w:val="00BD489F"/>
    <w:rsid w:val="00C005C8"/>
    <w:rsid w:val="00C055C8"/>
    <w:rsid w:val="00C136D9"/>
    <w:rsid w:val="00C1563B"/>
    <w:rsid w:val="00C321F5"/>
    <w:rsid w:val="00C47C4E"/>
    <w:rsid w:val="00C5194D"/>
    <w:rsid w:val="00C614AC"/>
    <w:rsid w:val="00C741F8"/>
    <w:rsid w:val="00C81F23"/>
    <w:rsid w:val="00C94C2C"/>
    <w:rsid w:val="00CA1972"/>
    <w:rsid w:val="00CE3413"/>
    <w:rsid w:val="00CF0E33"/>
    <w:rsid w:val="00CF43BE"/>
    <w:rsid w:val="00D01A5E"/>
    <w:rsid w:val="00D02E7C"/>
    <w:rsid w:val="00D03686"/>
    <w:rsid w:val="00D048A9"/>
    <w:rsid w:val="00D11DDA"/>
    <w:rsid w:val="00D20D67"/>
    <w:rsid w:val="00D21680"/>
    <w:rsid w:val="00D2677E"/>
    <w:rsid w:val="00D322C8"/>
    <w:rsid w:val="00D34426"/>
    <w:rsid w:val="00D544EB"/>
    <w:rsid w:val="00D54A84"/>
    <w:rsid w:val="00D70804"/>
    <w:rsid w:val="00D81E00"/>
    <w:rsid w:val="00D87456"/>
    <w:rsid w:val="00DB4CC8"/>
    <w:rsid w:val="00DB6971"/>
    <w:rsid w:val="00DE0E51"/>
    <w:rsid w:val="00DE1452"/>
    <w:rsid w:val="00DE758C"/>
    <w:rsid w:val="00DE763F"/>
    <w:rsid w:val="00DF1117"/>
    <w:rsid w:val="00DF4B02"/>
    <w:rsid w:val="00DF68FB"/>
    <w:rsid w:val="00E004BC"/>
    <w:rsid w:val="00E5270D"/>
    <w:rsid w:val="00E62D89"/>
    <w:rsid w:val="00E63A44"/>
    <w:rsid w:val="00E844DC"/>
    <w:rsid w:val="00E92F2E"/>
    <w:rsid w:val="00E94AEE"/>
    <w:rsid w:val="00EB1752"/>
    <w:rsid w:val="00EB57CC"/>
    <w:rsid w:val="00EC0658"/>
    <w:rsid w:val="00EC53E3"/>
    <w:rsid w:val="00EC632F"/>
    <w:rsid w:val="00EE2612"/>
    <w:rsid w:val="00EE37F5"/>
    <w:rsid w:val="00EE5475"/>
    <w:rsid w:val="00EE65D3"/>
    <w:rsid w:val="00EE687B"/>
    <w:rsid w:val="00F008CD"/>
    <w:rsid w:val="00F02155"/>
    <w:rsid w:val="00F04658"/>
    <w:rsid w:val="00F0482E"/>
    <w:rsid w:val="00F071E9"/>
    <w:rsid w:val="00F2638A"/>
    <w:rsid w:val="00F31616"/>
    <w:rsid w:val="00F3389B"/>
    <w:rsid w:val="00F439D1"/>
    <w:rsid w:val="00F4518D"/>
    <w:rsid w:val="00F50231"/>
    <w:rsid w:val="00F5115E"/>
    <w:rsid w:val="00F6098C"/>
    <w:rsid w:val="00F63D24"/>
    <w:rsid w:val="00F76BC7"/>
    <w:rsid w:val="00F86185"/>
    <w:rsid w:val="00F9231E"/>
    <w:rsid w:val="00FB514F"/>
    <w:rsid w:val="00FB5916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</TotalTime>
  <Pages>12</Pages>
  <Words>3001</Words>
  <Characters>17109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244</cp:revision>
  <dcterms:created xsi:type="dcterms:W3CDTF">2026-03-08T09:35:00Z</dcterms:created>
  <dcterms:modified xsi:type="dcterms:W3CDTF">2026-04-24T03:00:00Z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