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4CF3AB55" w:rsidR="005B7233" w:rsidRPr="00C7589D" w:rsidRDefault="005B7233" w:rsidP="00C7589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589D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51F162C2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и </w:t>
      </w:r>
      <w:proofErr w:type="spellStart"/>
      <w:r w:rsidRPr="00CC2ACB">
        <w:rPr>
          <w:rFonts w:ascii="Times New Roman" w:hAnsi="Times New Roman" w:cs="Times New Roman"/>
          <w:sz w:val="28"/>
          <w:szCs w:val="28"/>
        </w:rPr>
        <w:t>надёжностные</w:t>
      </w:r>
      <w:proofErr w:type="spellEnd"/>
      <w:r w:rsidRPr="00CC2ACB">
        <w:rPr>
          <w:rFonts w:ascii="Times New Roman" w:hAnsi="Times New Roman" w:cs="Times New Roman"/>
          <w:sz w:val="28"/>
          <w:szCs w:val="28"/>
        </w:rPr>
        <w:t xml:space="preserve"> свойства транспортной системы в целом. В рассматриваемой постановке батарея не сводится к эквивалентному источнику ЭДС с внутренним сопротивлением, а трактуется как многомасштабная </w:t>
      </w:r>
      <w:proofErr w:type="spellStart"/>
      <w:r w:rsidRPr="00CC2ACB">
        <w:rPr>
          <w:rFonts w:ascii="Times New Roman" w:hAnsi="Times New Roman" w:cs="Times New Roman"/>
          <w:sz w:val="28"/>
          <w:szCs w:val="28"/>
        </w:rPr>
        <w:t>электрохимико</w:t>
      </w:r>
      <w:proofErr w:type="spellEnd"/>
      <w:r w:rsidRPr="00CC2ACB">
        <w:rPr>
          <w:rFonts w:ascii="Times New Roman" w:hAnsi="Times New Roman" w:cs="Times New Roman"/>
          <w:sz w:val="28"/>
          <w:szCs w:val="28"/>
        </w:rPr>
        <w:t>-электротехническая система, взаимодействующая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 xml:space="preserve"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</w:t>
      </w:r>
      <w:proofErr w:type="spellStart"/>
      <w:r w:rsidRPr="0072749C">
        <w:rPr>
          <w:rFonts w:ascii="Times New Roman" w:hAnsi="Times New Roman" w:cs="Times New Roman"/>
          <w:sz w:val="28"/>
          <w:szCs w:val="28"/>
        </w:rPr>
        <w:t>деградационное</w:t>
      </w:r>
      <w:proofErr w:type="spellEnd"/>
      <w:r w:rsidRPr="0072749C">
        <w:rPr>
          <w:rFonts w:ascii="Times New Roman" w:hAnsi="Times New Roman" w:cs="Times New Roman"/>
          <w:sz w:val="28"/>
          <w:szCs w:val="28"/>
        </w:rPr>
        <w:t xml:space="preserve"> состояние. В общем виде напряжение батареи в динамическом режиме может быть представлено как</w:t>
      </w:r>
    </w:p>
    <w:p w14:paraId="36ABD8CD" w14:textId="77777777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CF9E50" w14:textId="18C6C893" w:rsidR="0072749C" w:rsidRP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6FD2">
        <w:rPr>
          <w:rFonts w:ascii="Times New Roman" w:hAnsi="Times New Roman" w:cs="Times New Roman"/>
          <w:position w:val="-14"/>
          <w:sz w:val="28"/>
          <w:szCs w:val="28"/>
        </w:rPr>
        <w:object w:dxaOrig="5300" w:dyaOrig="400" w14:anchorId="51D087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4.9pt;height:20.4pt" o:ole="">
            <v:imagedata r:id="rId6" o:title=""/>
          </v:shape>
          <o:OLEObject Type="Embed" ProgID="Equation.DSMT4" ShapeID="_x0000_i1025" DrawAspect="Content" ObjectID="_1835778464" r:id="rId7"/>
        </w:object>
      </w:r>
    </w:p>
    <w:p w14:paraId="2C2EE9BF" w14:textId="34984919" w:rsidR="0072749C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68E604C" w14:textId="0C7F575B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proofErr w:type="spellEnd"/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proofErr w:type="gramEnd"/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>
        <w:rPr>
          <w:rFonts w:ascii="Times New Roman" w:hAnsi="Times New Roman" w:cs="Times New Roman"/>
          <w:sz w:val="28"/>
          <w:szCs w:val="28"/>
        </w:rPr>
        <w:t xml:space="preserve">, контактов и </w:t>
      </w:r>
      <w:r w:rsidR="00A719C0" w:rsidRPr="00A719C0">
        <w:rPr>
          <w:rFonts w:ascii="Times New Roman" w:hAnsi="Times New Roman" w:cs="Times New Roman"/>
          <w:sz w:val="28"/>
          <w:szCs w:val="28"/>
          <w:highlight w:val="yellow"/>
        </w:rPr>
        <w:t>электролита</w:t>
      </w:r>
      <w:r w:rsidR="00A719C0">
        <w:rPr>
          <w:rFonts w:ascii="Times New Roman" w:hAnsi="Times New Roman" w:cs="Times New Roman"/>
          <w:sz w:val="28"/>
          <w:szCs w:val="28"/>
        </w:rPr>
        <w:t>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proofErr w:type="spellStart"/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p w14:paraId="72F639AF" w14:textId="77777777" w:rsidR="00D56314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E40118" w14:textId="52A9B14D" w:rsidR="00D56314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37B2">
        <w:rPr>
          <w:rFonts w:ascii="Times New Roman" w:hAnsi="Times New Roman" w:cs="Times New Roman"/>
          <w:position w:val="-30"/>
          <w:sz w:val="28"/>
          <w:szCs w:val="28"/>
        </w:rPr>
        <w:object w:dxaOrig="3159" w:dyaOrig="680" w14:anchorId="4128C517">
          <v:shape id="_x0000_i1026" type="#_x0000_t75" style="width:157.6pt;height:33.95pt" o:ole="">
            <v:imagedata r:id="rId8" o:title=""/>
          </v:shape>
          <o:OLEObject Type="Embed" ProgID="Equation.DSMT4" ShapeID="_x0000_i1026" DrawAspect="Content" ObjectID="_1835778465" r:id="rId9"/>
        </w:object>
      </w:r>
    </w:p>
    <w:p w14:paraId="52AB0A51" w14:textId="7777777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4EC669" w14:textId="1AD6D4A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DA41FCE" w14:textId="512AB75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2441CE6A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По этой причине в современных задачах надёжности и ресурсного сопровождения батарей одной </w:t>
      </w:r>
      <w:r w:rsidR="008A0B55" w:rsidRPr="008A0B55">
        <w:rPr>
          <w:rFonts w:ascii="Times New Roman" w:hAnsi="Times New Roman" w:cs="Times New Roman"/>
          <w:sz w:val="28"/>
          <w:szCs w:val="28"/>
        </w:rPr>
        <w:lastRenderedPageBreak/>
        <w:t>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SOF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и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RUL</w:t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20330FE7" w:rsidR="00EE12F0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359" w:dyaOrig="360" w14:anchorId="1157D90C">
          <v:shape id="_x0000_i1027" type="#_x0000_t75" style="width:67.9pt;height:17.65pt" o:ole="">
            <v:imagedata r:id="rId10" o:title=""/>
          </v:shape>
          <o:OLEObject Type="Embed" ProgID="Equation.DSMT4" ShapeID="_x0000_i1027" DrawAspect="Content" ObjectID="_1835778466" r:id="rId11"/>
        </w:object>
      </w:r>
    </w:p>
    <w:p w14:paraId="0ED3C069" w14:textId="720C3796" w:rsidR="00EE12F0" w:rsidRPr="00C7589D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p w14:paraId="3BF40B19" w14:textId="3D2E510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240" w:dyaOrig="400" w14:anchorId="3B9C0CF4">
          <v:shape id="_x0000_i1028" type="#_x0000_t75" style="width:162.35pt;height:20.4pt" o:ole="">
            <v:imagedata r:id="rId12" o:title=""/>
          </v:shape>
          <o:OLEObject Type="Embed" ProgID="Equation.DSMT4" ShapeID="_x0000_i1028" DrawAspect="Content" ObjectID="_1835778467" r:id="rId13"/>
        </w:object>
      </w:r>
    </w:p>
    <w:p w14:paraId="5C2F5723" w14:textId="77777777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866B4D" w14:textId="6B504CCA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 xml:space="preserve">включающее омическую, </w:t>
      </w:r>
      <w:proofErr w:type="spellStart"/>
      <w:r w:rsidRPr="00090672">
        <w:rPr>
          <w:rFonts w:ascii="Times New Roman" w:hAnsi="Times New Roman" w:cs="Times New Roman"/>
          <w:sz w:val="28"/>
          <w:szCs w:val="28"/>
        </w:rPr>
        <w:t>зарядопереносную</w:t>
      </w:r>
      <w:proofErr w:type="spellEnd"/>
      <w:r w:rsidRPr="00090672">
        <w:rPr>
          <w:rFonts w:ascii="Times New Roman" w:hAnsi="Times New Roman" w:cs="Times New Roman"/>
          <w:sz w:val="28"/>
          <w:szCs w:val="28"/>
        </w:rPr>
        <w:t xml:space="preserve">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p w14:paraId="5FA7EC5C" w14:textId="77777777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B702C4" w14:textId="0DBE90FF" w:rsidR="00B324F1" w:rsidRP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F1B">
        <w:rPr>
          <w:rFonts w:ascii="Times New Roman" w:hAnsi="Times New Roman" w:cs="Times New Roman"/>
          <w:position w:val="-24"/>
          <w:sz w:val="28"/>
          <w:szCs w:val="28"/>
        </w:rPr>
        <w:object w:dxaOrig="3440" w:dyaOrig="620" w14:anchorId="3CFCB99D">
          <v:shape id="_x0000_i1029" type="#_x0000_t75" style="width:171.85pt;height:31.25pt" o:ole="">
            <v:imagedata r:id="rId14" o:title=""/>
          </v:shape>
          <o:OLEObject Type="Embed" ProgID="Equation.DSMT4" ShapeID="_x0000_i1029" DrawAspect="Content" ObjectID="_1835778468" r:id="rId15"/>
        </w:object>
      </w:r>
    </w:p>
    <w:p w14:paraId="29DE5A08" w14:textId="461FCD55" w:rsidR="00B324F1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259639" w14:textId="4A7F3EF6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proofErr w:type="spellEnd"/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</w:p>
    <w:p w14:paraId="0D8BD0F9" w14:textId="3696ED4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proofErr w:type="spellEnd"/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</w:p>
    <w:p w14:paraId="651A1325" w14:textId="6E9E3125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</w:p>
    <w:p w14:paraId="3E78362D" w14:textId="42F54C69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</w:p>
    <w:p w14:paraId="10C974D8" w14:textId="0FA0C2E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 xml:space="preserve"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</w:t>
      </w:r>
      <w:proofErr w:type="spellStart"/>
      <w:r w:rsidRPr="0078052A">
        <w:rPr>
          <w:rFonts w:ascii="Times New Roman" w:hAnsi="Times New Roman" w:cs="Times New Roman"/>
          <w:sz w:val="28"/>
          <w:szCs w:val="28"/>
        </w:rPr>
        <w:t>деградационную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динамику напрямую: через изменение электропроводности, скорости межфазной реакции, коэффициента диффузии и толщины </w:t>
      </w:r>
      <w:proofErr w:type="spellStart"/>
      <w:r w:rsidRPr="0078052A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слоя.</w:t>
      </w:r>
    </w:p>
    <w:p w14:paraId="11438C5B" w14:textId="7D1069B7" w:rsidR="00AF1D4F" w:rsidRDefault="00AF1D4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t>Для последующего анализа в работе рассматриваются четыре группы аккумуляторных систем: NMC, LFP, LTO и Na-</w:t>
      </w:r>
      <w:proofErr w:type="spellStart"/>
      <w:r w:rsidRPr="00AF1D4F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AF1D4F">
        <w:rPr>
          <w:rFonts w:ascii="Times New Roman" w:hAnsi="Times New Roman" w:cs="Times New Roman"/>
          <w:sz w:val="28"/>
          <w:szCs w:val="28"/>
        </w:rPr>
        <w:t>.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работоспособностью, а также альтернативные натрий-ионные решения. Введение LTO и Na-</w:t>
      </w:r>
      <w:proofErr w:type="spellStart"/>
      <w:r w:rsidRPr="00AF1D4F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AF1D4F">
        <w:rPr>
          <w:rFonts w:ascii="Times New Roman" w:hAnsi="Times New Roman" w:cs="Times New Roman"/>
          <w:sz w:val="28"/>
          <w:szCs w:val="28"/>
        </w:rPr>
        <w:t xml:space="preserve">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876"/>
        <w:gridCol w:w="1378"/>
        <w:gridCol w:w="1367"/>
        <w:gridCol w:w="999"/>
        <w:gridCol w:w="1126"/>
        <w:gridCol w:w="1487"/>
        <w:gridCol w:w="1487"/>
        <w:gridCol w:w="957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Удельная энергия, </w:t>
            </w: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Вт·ч</w:t>
            </w:r>
            <w:proofErr w:type="spellEnd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/кг</w:t>
            </w:r>
          </w:p>
        </w:tc>
        <w:tc>
          <w:tcPr>
            <w:tcW w:w="1126" w:type="dxa"/>
          </w:tcPr>
          <w:p w14:paraId="327F8207" w14:textId="46B60F47" w:rsidR="009D7C13" w:rsidRPr="004B2ED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омическое сопротивление 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Ω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ct</w:t>
            </w:r>
            <w:proofErr w:type="spellEnd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Na-</w:t>
            </w: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ion</w:t>
            </w:r>
            <w:proofErr w:type="spellEnd"/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lastRenderedPageBreak/>
        <w:t xml:space="preserve">Представленные данные отражают исходную параметризацию опытной серии, принятой в работе для последующих нагрузочных, импедансных и </w:t>
      </w:r>
      <w:proofErr w:type="spellStart"/>
      <w:r w:rsidRPr="00435449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435449">
        <w:rPr>
          <w:rFonts w:ascii="Times New Roman" w:hAnsi="Times New Roman" w:cs="Times New Roman"/>
          <w:sz w:val="28"/>
          <w:szCs w:val="28"/>
        </w:rPr>
        <w:t xml:space="preserve">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стойкостью, а Na-</w:t>
      </w:r>
      <w:proofErr w:type="spellStart"/>
      <w:r w:rsidRPr="00435449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435449">
        <w:rPr>
          <w:rFonts w:ascii="Times New Roman" w:hAnsi="Times New Roman" w:cs="Times New Roman"/>
          <w:sz w:val="28"/>
          <w:szCs w:val="28"/>
        </w:rPr>
        <w:t xml:space="preserve">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proofErr w:type="spellStart"/>
      <w:r w:rsidRPr="00623599">
        <w:rPr>
          <w:rFonts w:ascii="Times New Roman" w:hAnsi="Times New Roman" w:cs="Times New Roman"/>
          <w:sz w:val="28"/>
          <w:szCs w:val="28"/>
        </w:rPr>
        <w:t>термонапряжённого</w:t>
      </w:r>
      <w:proofErr w:type="spellEnd"/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47D35204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 xml:space="preserve">На рисунке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</w:t>
      </w:r>
      <w:proofErr w:type="spellStart"/>
      <w:r w:rsidRPr="007A1B5F">
        <w:rPr>
          <w:rFonts w:ascii="Times New Roman" w:hAnsi="Times New Roman" w:cs="Times New Roman"/>
          <w:sz w:val="28"/>
          <w:szCs w:val="28"/>
        </w:rPr>
        <w:t>рекуперационным</w:t>
      </w:r>
      <w:proofErr w:type="spellEnd"/>
      <w:r w:rsidRPr="007A1B5F">
        <w:rPr>
          <w:rFonts w:ascii="Times New Roman" w:hAnsi="Times New Roman" w:cs="Times New Roman"/>
          <w:sz w:val="28"/>
          <w:szCs w:val="28"/>
        </w:rPr>
        <w:t xml:space="preserve"> контуром, тепловым контуром и бортовой сетью. Такая структура демонстрирует, 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Практическая ценность рисунка состоит в том, что он задаёт архитектуру будущей инженерной реализации. Из него непосредственно следует, где могут </w:t>
      </w:r>
      <w:r w:rsidRPr="00BA7334">
        <w:rPr>
          <w:rFonts w:ascii="Times New Roman" w:hAnsi="Times New Roman" w:cs="Times New Roman"/>
          <w:sz w:val="28"/>
          <w:szCs w:val="28"/>
        </w:rPr>
        <w:lastRenderedPageBreak/>
        <w:t>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3DA29DE5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также участков с пульсирующим </w:t>
      </w:r>
      <w:proofErr w:type="spellStart"/>
      <w:r w:rsidRPr="00BA7334">
        <w:rPr>
          <w:rFonts w:ascii="Times New Roman" w:hAnsi="Times New Roman" w:cs="Times New Roman"/>
          <w:sz w:val="28"/>
          <w:szCs w:val="28"/>
        </w:rPr>
        <w:t>токопотреблением</w:t>
      </w:r>
      <w:proofErr w:type="spellEnd"/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>Для описания режима тяговой эксплуатации удобно представить ток как суперпозицию базовой и динамической составляющих:</w:t>
      </w:r>
    </w:p>
    <w:p w14:paraId="1CA3F54B" w14:textId="77777777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33288B" w14:textId="12E4B02C" w:rsidR="00034171" w:rsidRPr="00F00EB5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0EB5">
        <w:rPr>
          <w:rFonts w:ascii="Times New Roman" w:hAnsi="Times New Roman" w:cs="Times New Roman"/>
          <w:position w:val="-14"/>
          <w:sz w:val="28"/>
          <w:szCs w:val="28"/>
        </w:rPr>
        <w:object w:dxaOrig="2079" w:dyaOrig="380" w14:anchorId="073C43AA">
          <v:shape id="_x0000_i1030" type="#_x0000_t75" style="width:103.9pt;height:19pt" o:ole="">
            <v:imagedata r:id="rId17" o:title=""/>
          </v:shape>
          <o:OLEObject Type="Embed" ProgID="Equation.DSMT4" ShapeID="_x0000_i1030" DrawAspect="Content" ObjectID="_1835778469" r:id="rId18"/>
        </w:object>
      </w:r>
    </w:p>
    <w:p w14:paraId="56B9266D" w14:textId="55BC64FA" w:rsidR="00034171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77A9D1F3" w14:textId="1B6AFB59" w:rsidR="00F00EB5" w:rsidRDefault="00384BE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proofErr w:type="spellEnd"/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</w:p>
    <w:p w14:paraId="3C1C83AC" w14:textId="479B9219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proofErr w:type="spellEnd"/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06D9475C">
            <wp:extent cx="6119495" cy="3304540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2FB3686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успевает вернуться к исходному уровню между отдельными нагрузочными пиками.</w:t>
      </w:r>
    </w:p>
    <w:p w14:paraId="2E481AD5" w14:textId="4B3AEBF5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дальнейшего отказа от чисто стационарной трактовки импеданса и необходимости введения динамических </w:t>
      </w:r>
      <w:proofErr w:type="spellStart"/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proofErr w:type="spellEnd"/>
      <w:r w:rsidRPr="00516B33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Start"/>
      <w:r w:rsidRPr="00516B33">
        <w:rPr>
          <w:rFonts w:ascii="Times New Roman" w:hAnsi="Times New Roman" w:cs="Times New Roman"/>
          <w:i/>
          <w:iCs/>
          <w:sz w:val="28"/>
          <w:szCs w:val="28"/>
        </w:rPr>
        <w:t>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proofErr w:type="gramEnd"/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lastRenderedPageBreak/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319EDC36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 xml:space="preserve"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</w:t>
      </w:r>
      <w:proofErr w:type="spellStart"/>
      <w:proofErr w:type="gramStart"/>
      <w:r w:rsidRPr="006E30D1">
        <w:rPr>
          <w:rFonts w:ascii="Times New Roman" w:hAnsi="Times New Roman" w:cs="Times New Roman"/>
          <w:sz w:val="28"/>
          <w:szCs w:val="28"/>
        </w:rPr>
        <w:t>массо</w:t>
      </w:r>
      <w:proofErr w:type="spellEnd"/>
      <w:r w:rsidRPr="006E30D1">
        <w:rPr>
          <w:rFonts w:ascii="Times New Roman" w:hAnsi="Times New Roman" w:cs="Times New Roman"/>
          <w:sz w:val="28"/>
          <w:szCs w:val="28"/>
        </w:rPr>
        <w:t>-габаритным</w:t>
      </w:r>
      <w:proofErr w:type="gramEnd"/>
      <w:r w:rsidRPr="006E30D1">
        <w:rPr>
          <w:rFonts w:ascii="Times New Roman" w:hAnsi="Times New Roman" w:cs="Times New Roman"/>
          <w:sz w:val="28"/>
          <w:szCs w:val="28"/>
        </w:rPr>
        <w:t xml:space="preserve">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</w:t>
      </w:r>
      <w:proofErr w:type="spellStart"/>
      <w:r w:rsidRPr="006E30D1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6E30D1">
        <w:rPr>
          <w:rFonts w:ascii="Times New Roman" w:hAnsi="Times New Roman" w:cs="Times New Roman"/>
          <w:sz w:val="28"/>
          <w:szCs w:val="28"/>
        </w:rPr>
        <w:t xml:space="preserve">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p w14:paraId="368EE463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DD893" w14:textId="37F9A880" w:rsidR="00395A91" w:rsidRPr="00415E90" w:rsidRDefault="00415E9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E90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74779D0">
          <v:shape id="_x0000_i1031" type="#_x0000_t75" style="width:48.25pt;height:33.95pt" o:ole="">
            <v:imagedata r:id="rId20" o:title=""/>
          </v:shape>
          <o:OLEObject Type="Embed" ProgID="Equation.DSMT4" ShapeID="_x0000_i1031" DrawAspect="Content" ObjectID="_1835778470" r:id="rId21"/>
        </w:object>
      </w:r>
    </w:p>
    <w:p w14:paraId="62E563EE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219755D" w14:textId="0E6E4235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t xml:space="preserve">то изменение обменного тока </w:t>
      </w:r>
      <w:proofErr w:type="spellStart"/>
      <w:r w:rsidRPr="00415E9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415E9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415E90">
        <w:rPr>
          <w:rFonts w:ascii="Times New Roman" w:hAnsi="Times New Roman" w:cs="Times New Roman"/>
          <w:sz w:val="28"/>
          <w:szCs w:val="28"/>
        </w:rPr>
        <w:t>, зависящего от материала электрода, площади реакционной поверхности и состояния интерфейса, приводит к систематическим 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lastRenderedPageBreak/>
        <w:t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не для «средней абстрактной батареи», а для батареи определённой химической природы, включённой в конкретный эксплуатационный сценарий.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7975432">
            <wp:extent cx="6119495" cy="3527425"/>
            <wp:effectExtent l="0" t="0" r="0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1B41147D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t>На рисунке в нормированном виде сопоставлены три группы показателей: энергоёмкость, мощностной потенциал и циклический ресурс для NMC, LFP, LTO и Na-</w:t>
      </w:r>
      <w:proofErr w:type="spellStart"/>
      <w:r w:rsidRPr="000A06A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0A06AE">
        <w:rPr>
          <w:rFonts w:ascii="Times New Roman" w:hAnsi="Times New Roman" w:cs="Times New Roman"/>
          <w:sz w:val="28"/>
          <w:szCs w:val="28"/>
        </w:rPr>
        <w:t xml:space="preserve"> систем. Нормирование выполнено по максимальному значению 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lastRenderedPageBreak/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</w:t>
      </w:r>
      <w:proofErr w:type="spellStart"/>
      <w:r w:rsidRPr="003070C4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3070C4">
        <w:rPr>
          <w:rFonts w:ascii="Times New Roman" w:hAnsi="Times New Roman" w:cs="Times New Roman"/>
          <w:sz w:val="28"/>
          <w:szCs w:val="28"/>
        </w:rPr>
        <w:t xml:space="preserve">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 xml:space="preserve"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</w:t>
      </w:r>
      <w:proofErr w:type="spellStart"/>
      <w:r w:rsidRPr="00B70450">
        <w:rPr>
          <w:rFonts w:ascii="Times New Roman" w:hAnsi="Times New Roman" w:cs="Times New Roman"/>
          <w:sz w:val="28"/>
          <w:szCs w:val="28"/>
        </w:rPr>
        <w:t>деградационные</w:t>
      </w:r>
      <w:proofErr w:type="spellEnd"/>
      <w:r w:rsidRPr="00B70450">
        <w:rPr>
          <w:rFonts w:ascii="Times New Roman" w:hAnsi="Times New Roman" w:cs="Times New Roman"/>
          <w:sz w:val="28"/>
          <w:szCs w:val="28"/>
        </w:rPr>
        <w:t xml:space="preserve"> процессы протекают совместно и во взаимном влиянии. Для NMC, LFP, LTO и Na-</w:t>
      </w:r>
      <w:proofErr w:type="spellStart"/>
      <w:r w:rsidRPr="00B70450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70450">
        <w:rPr>
          <w:rFonts w:ascii="Times New Roman" w:hAnsi="Times New Roman" w:cs="Times New Roman"/>
          <w:sz w:val="28"/>
          <w:szCs w:val="28"/>
        </w:rPr>
        <w:t xml:space="preserve">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импедансным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t>1.2 Механизмы деградации NMC, LFP, LTO и Na-</w:t>
      </w:r>
      <w:proofErr w:type="spellStart"/>
      <w:r w:rsidRPr="00F2275A">
        <w:rPr>
          <w:rFonts w:ascii="Times New Roman" w:hAnsi="Times New Roman" w:cs="Times New Roman"/>
          <w:b/>
          <w:bCs/>
          <w:sz w:val="28"/>
          <w:szCs w:val="28"/>
        </w:rPr>
        <w:t>ion</w:t>
      </w:r>
      <w:proofErr w:type="spellEnd"/>
      <w:r w:rsidRPr="00F2275A">
        <w:rPr>
          <w:rFonts w:ascii="Times New Roman" w:hAnsi="Times New Roman" w:cs="Times New Roman"/>
          <w:b/>
          <w:bCs/>
          <w:sz w:val="28"/>
          <w:szCs w:val="28"/>
        </w:rPr>
        <w:t xml:space="preserve">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7EFADB24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 xml:space="preserve"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лития, потеря активного материала, рост межфазных сопротивлений, ухудшение электролитного транспорта и структурная деградация электродов; при этом итоговыми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макропроявлениями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являются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capacity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fade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impedance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rise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>.</w:t>
      </w:r>
    </w:p>
    <w:p w14:paraId="749AA03B" w14:textId="23A71935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 xml:space="preserve">С физико-математической точки зрения </w:t>
      </w:r>
      <w:proofErr w:type="spellStart"/>
      <w:r w:rsidRPr="00522B5B">
        <w:rPr>
          <w:rFonts w:ascii="Times New Roman" w:hAnsi="Times New Roman" w:cs="Times New Roman"/>
          <w:sz w:val="28"/>
          <w:szCs w:val="28"/>
        </w:rPr>
        <w:t>деградационный</w:t>
      </w:r>
      <w:proofErr w:type="spellEnd"/>
      <w:r w:rsidRPr="00522B5B">
        <w:rPr>
          <w:rFonts w:ascii="Times New Roman" w:hAnsi="Times New Roman" w:cs="Times New Roman"/>
          <w:sz w:val="28"/>
          <w:szCs w:val="28"/>
        </w:rPr>
        <w:t xml:space="preserve"> процесс 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   D(t) деградации. Тогда в обобщённой форме можно записать</w:t>
      </w:r>
    </w:p>
    <w:p w14:paraId="29275B8A" w14:textId="77777777" w:rsidR="00AE27B1" w:rsidRDefault="00AE27B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28C990" w14:textId="7630A665" w:rsidR="0057524C" w:rsidRP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48B0">
        <w:rPr>
          <w:rFonts w:ascii="Times New Roman" w:hAnsi="Times New Roman" w:cs="Times New Roman"/>
          <w:position w:val="-24"/>
          <w:sz w:val="28"/>
          <w:szCs w:val="28"/>
        </w:rPr>
        <w:object w:dxaOrig="3379" w:dyaOrig="620" w14:anchorId="438A2006">
          <v:shape id="_x0000_i1032" type="#_x0000_t75" style="width:168.45pt;height:31.25pt" o:ole="">
            <v:imagedata r:id="rId23" o:title=""/>
          </v:shape>
          <o:OLEObject Type="Embed" ProgID="Equation.DSMT4" ShapeID="_x0000_i1032" DrawAspect="Content" ObjectID="_1835778471" r:id="rId24"/>
        </w:object>
      </w:r>
    </w:p>
    <w:p w14:paraId="01F43E17" w14:textId="17589237" w:rsidR="0057524C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5641733" w14:textId="7ED7BF77" w:rsid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</w:p>
    <w:p w14:paraId="51612183" w14:textId="3DAAAB9E" w:rsidR="0044617A" w:rsidRPr="00341ACE" w:rsidRDefault="0044617A" w:rsidP="0044617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</w:t>
      </w:r>
      <w:proofErr w:type="spellStart"/>
      <w:r w:rsidRPr="0044617A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лития или натрия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F68303" w14:textId="5A98A2F9" w:rsidR="00341ACE" w:rsidRPr="00341ACE" w:rsidRDefault="00341ACE" w:rsidP="00341AC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0C285C" w14:textId="0B308F91" w:rsidR="0006550F" w:rsidRPr="00341ACE" w:rsidRDefault="0006550F" w:rsidP="0006550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9CB4A8" w14:textId="10005990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proofErr w:type="spellStart"/>
      <w:r w:rsidRPr="008D4C53">
        <w:rPr>
          <w:rFonts w:ascii="Times New Roman" w:hAnsi="Times New Roman" w:cs="Times New Roman"/>
          <w:sz w:val="28"/>
          <w:szCs w:val="28"/>
        </w:rPr>
        <w:t>механодеструкцию</w:t>
      </w:r>
      <w:proofErr w:type="spellEnd"/>
      <w:r w:rsidRPr="008D4C53">
        <w:rPr>
          <w:rFonts w:ascii="Times New Roman" w:hAnsi="Times New Roman" w:cs="Times New Roman"/>
          <w:sz w:val="28"/>
          <w:szCs w:val="28"/>
        </w:rPr>
        <w:t xml:space="preserve"> частиц и контактов.</w:t>
      </w:r>
    </w:p>
    <w:p w14:paraId="46B37C97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FD32E" w14:textId="68F6D3EA" w:rsidR="0044617A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4B9">
        <w:rPr>
          <w:rFonts w:ascii="Times New Roman" w:hAnsi="Times New Roman" w:cs="Times New Roman"/>
          <w:sz w:val="28"/>
          <w:szCs w:val="28"/>
        </w:rPr>
        <w:lastRenderedPageBreak/>
        <w:t>Наиболее универсальным следствием старения является рост сопротивления переноса заряда. Это следует из линеаризованного уравнения Батлера–</w:t>
      </w:r>
      <w:proofErr w:type="spellStart"/>
      <w:r w:rsidRPr="00F564B9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 w:rsidRPr="00F564B9">
        <w:rPr>
          <w:rFonts w:ascii="Times New Roman" w:hAnsi="Times New Roman" w:cs="Times New Roman"/>
          <w:sz w:val="28"/>
          <w:szCs w:val="28"/>
        </w:rPr>
        <w:t>:</w:t>
      </w:r>
    </w:p>
    <w:p w14:paraId="453664FE" w14:textId="77777777" w:rsidR="00F564B9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AF2661" w14:textId="7B8014E3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0B2B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960" w:dyaOrig="680" w14:anchorId="4A0E180C">
          <v:shape id="_x0000_i1033" type="#_x0000_t75" style="width:47.55pt;height:33.95pt" o:ole="">
            <v:imagedata r:id="rId25" o:title=""/>
          </v:shape>
          <o:OLEObject Type="Embed" ProgID="Equation.DSMT4" ShapeID="_x0000_i1033" DrawAspect="Content" ObjectID="_1835778472" r:id="rId26"/>
        </w:object>
      </w:r>
    </w:p>
    <w:p w14:paraId="5544E993" w14:textId="1098940E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1F875F" w14:textId="39158485" w:rsidR="004D0B2B" w:rsidRDefault="002E572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E572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2E572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2E572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0112FE17" w14:textId="256F6DFF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F4D">
        <w:rPr>
          <w:rFonts w:ascii="Times New Roman" w:hAnsi="Times New Roman" w:cs="Times New Roman"/>
          <w:sz w:val="28"/>
          <w:szCs w:val="28"/>
        </w:rPr>
        <w:t>Если в процессе старения уменьшается эффективная активная площадь, снижается доступность реакционных центров или ухудшается межфазная кинетика, обменный ток уменьшается,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4F4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04F4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04F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Именно поэтому параметр 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 рассматривается в работе как один из ключевых диагностических и прогностических признаков.</w:t>
      </w:r>
      <w:r w:rsidR="004D0025">
        <w:rPr>
          <w:rFonts w:ascii="Times New Roman" w:hAnsi="Times New Roman" w:cs="Times New Roman"/>
          <w:sz w:val="28"/>
          <w:szCs w:val="28"/>
        </w:rPr>
        <w:t xml:space="preserve"> </w:t>
      </w:r>
      <w:r w:rsidR="005F331D" w:rsidRPr="005F331D">
        <w:rPr>
          <w:rFonts w:ascii="Times New Roman" w:hAnsi="Times New Roman" w:cs="Times New Roman"/>
          <w:sz w:val="28"/>
          <w:szCs w:val="28"/>
        </w:rPr>
        <w:t>Такой выбор согласуется и с современными исследованиями по EIS-диагностике, и с логикой уже сформированного каркаса диссертации.</w:t>
      </w:r>
    </w:p>
    <w:p w14:paraId="447C810E" w14:textId="4FCE4750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>Не менее важен процесс роста межфазного слоя на отрицательном электроде. В первом приближении его можно связать с диффузионно-ограниченным режимом. Если толщина межфазного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i/>
          <w:iCs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 xml:space="preserve">определяется транспортом реагентов через уже сформировавшийся слой, то на основе второго закона </w:t>
      </w:r>
      <w:proofErr w:type="spellStart"/>
      <w:r w:rsidRPr="00381AA1">
        <w:rPr>
          <w:rFonts w:ascii="Times New Roman" w:hAnsi="Times New Roman" w:cs="Times New Roman"/>
          <w:sz w:val="28"/>
          <w:szCs w:val="28"/>
        </w:rPr>
        <w:t>Фика</w:t>
      </w:r>
      <w:proofErr w:type="spellEnd"/>
    </w:p>
    <w:p w14:paraId="128767FE" w14:textId="77777777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48867E" w14:textId="67B8AB32" w:rsidR="00381AA1" w:rsidRP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position w:val="-24"/>
          <w:sz w:val="28"/>
          <w:szCs w:val="28"/>
        </w:rPr>
        <w:object w:dxaOrig="1280" w:dyaOrig="660" w14:anchorId="5867754B">
          <v:shape id="_x0000_i1034" type="#_x0000_t75" style="width:63.85pt;height:32.6pt" o:ole="">
            <v:imagedata r:id="rId27" o:title=""/>
          </v:shape>
          <o:OLEObject Type="Embed" ProgID="Equation.DSMT4" ShapeID="_x0000_i1034" DrawAspect="Content" ObjectID="_1835778473" r:id="rId28"/>
        </w:object>
      </w:r>
    </w:p>
    <w:p w14:paraId="3A125241" w14:textId="6560001D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sz w:val="28"/>
          <w:szCs w:val="28"/>
        </w:rPr>
        <w:t xml:space="preserve">получается </w:t>
      </w:r>
      <w:r w:rsidRPr="00381AA1">
        <w:rPr>
          <w:rFonts w:ascii="Times New Roman" w:hAnsi="Times New Roman" w:cs="Times New Roman"/>
          <w:sz w:val="28"/>
          <w:szCs w:val="28"/>
          <w:highlight w:val="yellow"/>
        </w:rPr>
        <w:t>корневой</w:t>
      </w:r>
      <w:r w:rsidRPr="00381AA1">
        <w:rPr>
          <w:rFonts w:ascii="Times New Roman" w:hAnsi="Times New Roman" w:cs="Times New Roman"/>
          <w:sz w:val="28"/>
          <w:szCs w:val="28"/>
        </w:rPr>
        <w:t xml:space="preserve"> закон роста</w:t>
      </w:r>
    </w:p>
    <w:p w14:paraId="16374A4B" w14:textId="16D6BF70" w:rsidR="00381AA1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603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40" w:dyaOrig="420" w14:anchorId="3514237A">
          <v:shape id="_x0000_i1035" type="#_x0000_t75" style="width:51.6pt;height:21.05pt" o:ole="">
            <v:imagedata r:id="rId29" o:title=""/>
          </v:shape>
          <o:OLEObject Type="Embed" ProgID="Equation.DSMT4" ShapeID="_x0000_i1035" DrawAspect="Content" ObjectID="_1835778474" r:id="rId30"/>
        </w:object>
      </w:r>
    </w:p>
    <w:p w14:paraId="4EF5A9C2" w14:textId="04E912EB" w:rsidR="00F96030" w:rsidRPr="00A07748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30">
        <w:rPr>
          <w:rFonts w:ascii="Times New Roman" w:hAnsi="Times New Roman" w:cs="Times New Roman"/>
          <w:sz w:val="28"/>
          <w:szCs w:val="28"/>
        </w:rPr>
        <w:t>Отсюда следует и корневой закон роста межфазного сопротивления:</w:t>
      </w:r>
    </w:p>
    <w:p w14:paraId="6CB04624" w14:textId="5714D378" w:rsidR="00F96030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157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400" w14:anchorId="61CEF41B">
          <v:shape id="_x0000_i1036" type="#_x0000_t75" style="width:62.5pt;height:20.4pt" o:ole="">
            <v:imagedata r:id="rId31" o:title=""/>
          </v:shape>
          <o:OLEObject Type="Embed" ProgID="Equation.DSMT4" ShapeID="_x0000_i1036" DrawAspect="Content" ObjectID="_1835778475" r:id="rId32"/>
        </w:object>
      </w:r>
    </w:p>
    <w:p w14:paraId="34578846" w14:textId="7C8EB4D6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 xml:space="preserve">Эта зависимость особенно важна для объяснения ранней стадии старения, когда снижение ёмкости ещё умеренно, а рост сопротивления уже становится заметным. В дальнейшем, по мере вовлечения механических и структурных механизмов, зависимость может стать близкой к линейной или даже </w:t>
      </w:r>
      <w:proofErr w:type="spellStart"/>
      <w:r w:rsidRPr="000E1575">
        <w:rPr>
          <w:rFonts w:ascii="Times New Roman" w:hAnsi="Times New Roman" w:cs="Times New Roman"/>
          <w:sz w:val="28"/>
          <w:szCs w:val="28"/>
        </w:rPr>
        <w:t>сверхлинейной</w:t>
      </w:r>
      <w:proofErr w:type="spellEnd"/>
      <w:r w:rsidRPr="000E1575">
        <w:rPr>
          <w:rFonts w:ascii="Times New Roman" w:hAnsi="Times New Roman" w:cs="Times New Roman"/>
          <w:sz w:val="28"/>
          <w:szCs w:val="28"/>
        </w:rPr>
        <w:t>.</w:t>
      </w:r>
    </w:p>
    <w:p w14:paraId="2496D034" w14:textId="4D2B51DF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Температурная составляющая старения подчиняется закону Аррениуса:</w:t>
      </w:r>
    </w:p>
    <w:p w14:paraId="35BC6A69" w14:textId="77777777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BB8E95" w14:textId="2CE4140A" w:rsidR="00F35630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C7EA1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2079" w:dyaOrig="680" w14:anchorId="525A4C2A">
          <v:shape id="_x0000_i1037" type="#_x0000_t75" style="width:103.9pt;height:33.95pt" o:ole="">
            <v:imagedata r:id="rId33" o:title=""/>
          </v:shape>
          <o:OLEObject Type="Embed" ProgID="Equation.DSMT4" ShapeID="_x0000_i1037" DrawAspect="Content" ObjectID="_1835778476" r:id="rId34"/>
        </w:object>
      </w:r>
    </w:p>
    <w:p w14:paraId="7BCDAFA9" w14:textId="47407904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6C7EA1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6C7EA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proofErr w:type="spellEnd"/>
      <w:r w:rsidRPr="006C7EA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C7EA1">
        <w:rPr>
          <w:rFonts w:ascii="Times New Roman" w:hAnsi="Times New Roman" w:cs="Times New Roman"/>
          <w:sz w:val="28"/>
          <w:szCs w:val="28"/>
        </w:rPr>
        <w:t xml:space="preserve">– энергия активации </w:t>
      </w:r>
      <w:proofErr w:type="spellStart"/>
      <w:r w:rsidRPr="006C7EA1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6C7EA1">
        <w:rPr>
          <w:rFonts w:ascii="Times New Roman" w:hAnsi="Times New Roman" w:cs="Times New Roman"/>
          <w:sz w:val="28"/>
          <w:szCs w:val="28"/>
        </w:rPr>
        <w:t xml:space="preserve"> процесса.</w:t>
      </w:r>
    </w:p>
    <w:p w14:paraId="419344D0" w14:textId="7150AC78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EA1">
        <w:rPr>
          <w:rFonts w:ascii="Times New Roman" w:hAnsi="Times New Roman" w:cs="Times New Roman"/>
          <w:sz w:val="28"/>
          <w:szCs w:val="28"/>
        </w:rPr>
        <w:t xml:space="preserve">Применение этой формулы в данной работе обосновано тем, что межфазные реакции, разложение электролита, растворение переходных металлов, газообразование и многие формы структурной релаксации являются </w:t>
      </w:r>
      <w:proofErr w:type="spellStart"/>
      <w:r w:rsidRPr="006C7EA1">
        <w:rPr>
          <w:rFonts w:ascii="Times New Roman" w:hAnsi="Times New Roman" w:cs="Times New Roman"/>
          <w:sz w:val="28"/>
          <w:szCs w:val="28"/>
        </w:rPr>
        <w:t>термоактивируемыми</w:t>
      </w:r>
      <w:proofErr w:type="spellEnd"/>
      <w:r w:rsidRPr="006C7EA1">
        <w:rPr>
          <w:rFonts w:ascii="Times New Roman" w:hAnsi="Times New Roman" w:cs="Times New Roman"/>
          <w:sz w:val="28"/>
          <w:szCs w:val="28"/>
        </w:rPr>
        <w:t>. Следовательно, даже одинаковая химическая система при разных тепловых режимах будет демонстрировать различную траекторию деградации. Современные обзоры по NMC, LFP и LTO системам подтверждают критическую роль температуры и SOC-окна в старении аккумуляторов.</w:t>
      </w:r>
    </w:p>
    <w:p w14:paraId="711F7B32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91347" w14:textId="0501B371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sz w:val="28"/>
          <w:szCs w:val="28"/>
        </w:rPr>
        <w:t>1.2.1 Деградация аккумуляторов типа NMC</w:t>
      </w:r>
    </w:p>
    <w:p w14:paraId="2E8E8358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B82EC" w14:textId="7CA1C411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266">
        <w:rPr>
          <w:rFonts w:ascii="Times New Roman" w:hAnsi="Times New Roman" w:cs="Times New Roman"/>
          <w:sz w:val="28"/>
          <w:szCs w:val="28"/>
        </w:rPr>
        <w:t xml:space="preserve">Для аккумуляторов на основе никель-марганец-кобальтовых оксидов характерно сочетание высокой удельной энергии с повышенной чувствительностью к структурной и межфазной деградации. Современные обзоры показывают, что для NMC-систем наиболее типичны </w:t>
      </w:r>
      <w:proofErr w:type="spellStart"/>
      <w:r w:rsidRPr="00507266">
        <w:rPr>
          <w:rFonts w:ascii="Times New Roman" w:hAnsi="Times New Roman" w:cs="Times New Roman"/>
          <w:sz w:val="28"/>
          <w:szCs w:val="28"/>
          <w:highlight w:val="yellow"/>
        </w:rPr>
        <w:t>микротрещинообразование</w:t>
      </w:r>
      <w:proofErr w:type="spellEnd"/>
      <w:r w:rsidRPr="00507266">
        <w:rPr>
          <w:rFonts w:ascii="Times New Roman" w:hAnsi="Times New Roman" w:cs="Times New Roman"/>
          <w:sz w:val="28"/>
          <w:szCs w:val="28"/>
        </w:rPr>
        <w:t xml:space="preserve"> вторичных частиц, деградация поверхности катода, растворение переходных металлов, катионное смешение, кислородная </w:t>
      </w:r>
      <w:r w:rsidRPr="00507266">
        <w:rPr>
          <w:rFonts w:ascii="Times New Roman" w:hAnsi="Times New Roman" w:cs="Times New Roman"/>
          <w:sz w:val="28"/>
          <w:szCs w:val="28"/>
        </w:rPr>
        <w:lastRenderedPageBreak/>
        <w:t xml:space="preserve">нестабильность при высоких степенях </w:t>
      </w:r>
      <w:proofErr w:type="spellStart"/>
      <w:r w:rsidRPr="00507266">
        <w:rPr>
          <w:rFonts w:ascii="Times New Roman" w:hAnsi="Times New Roman" w:cs="Times New Roman"/>
          <w:sz w:val="28"/>
          <w:szCs w:val="28"/>
        </w:rPr>
        <w:t>делитирования</w:t>
      </w:r>
      <w:proofErr w:type="spellEnd"/>
      <w:r w:rsidRPr="00507266">
        <w:rPr>
          <w:rFonts w:ascii="Times New Roman" w:hAnsi="Times New Roman" w:cs="Times New Roman"/>
          <w:sz w:val="28"/>
          <w:szCs w:val="28"/>
        </w:rPr>
        <w:t xml:space="preserve"> и ускоренное взаимодействие катода с электролитом, особенно у 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Ni</w:t>
      </w:r>
      <w:r w:rsidR="00376127" w:rsidRPr="00376127">
        <w:rPr>
          <w:rFonts w:ascii="Times New Roman" w:hAnsi="Times New Roman" w:cs="Times New Roman"/>
          <w:sz w:val="28"/>
          <w:szCs w:val="28"/>
          <w:highlight w:val="yellow"/>
        </w:rPr>
        <w:t>-</w:t>
      </w:r>
      <w:proofErr w:type="spellStart"/>
      <w:r w:rsidRPr="00376127">
        <w:rPr>
          <w:rFonts w:ascii="Times New Roman" w:hAnsi="Times New Roman" w:cs="Times New Roman"/>
          <w:sz w:val="28"/>
          <w:szCs w:val="28"/>
          <w:highlight w:val="yellow"/>
        </w:rPr>
        <w:t>rich</w:t>
      </w:r>
      <w:proofErr w:type="spellEnd"/>
      <w:r w:rsidRPr="00507266">
        <w:rPr>
          <w:rFonts w:ascii="Times New Roman" w:hAnsi="Times New Roman" w:cs="Times New Roman"/>
          <w:sz w:val="28"/>
          <w:szCs w:val="28"/>
        </w:rPr>
        <w:t xml:space="preserve"> композиций.</w:t>
      </w:r>
    </w:p>
    <w:p w14:paraId="4196AE20" w14:textId="19A2E604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 xml:space="preserve">С точки зрения кинетики старения это означает, что деградация NMC идёт одновременно по двум связанным контурам. Первый контур — катодный: 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</w:t>
      </w:r>
      <w:proofErr w:type="spellStart"/>
      <w:r w:rsidRPr="00376127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376127">
        <w:rPr>
          <w:rFonts w:ascii="Times New Roman" w:hAnsi="Times New Roman" w:cs="Times New Roman"/>
          <w:sz w:val="28"/>
          <w:szCs w:val="28"/>
        </w:rPr>
        <w:t xml:space="preserve"> лития. В спектре импеданса это, как правило, проявляется сравнительно быстрым ростом полукруга переноса заряда и последующим усилением низкочастотной диффузионной компоненты.</w:t>
      </w:r>
    </w:p>
    <w:p w14:paraId="5CB1984D" w14:textId="295EF8AC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В математической форме деградацию NMC-элемента удобно описывать как сумму структурной и межфазной составляющих:</w:t>
      </w:r>
    </w:p>
    <w:p w14:paraId="1D447F22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05500C" w14:textId="67C3E144" w:rsidR="00376127" w:rsidRPr="009726DE" w:rsidRDefault="009726D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26DE">
        <w:rPr>
          <w:rFonts w:ascii="Times New Roman" w:hAnsi="Times New Roman" w:cs="Times New Roman"/>
          <w:position w:val="-12"/>
          <w:sz w:val="28"/>
          <w:szCs w:val="28"/>
        </w:rPr>
        <w:object w:dxaOrig="3760" w:dyaOrig="400" w14:anchorId="1D68E6E1">
          <v:shape id="_x0000_i1038" type="#_x0000_t75" style="width:188.15pt;height:20.4pt" o:ole="">
            <v:imagedata r:id="rId35" o:title=""/>
          </v:shape>
          <o:OLEObject Type="Embed" ProgID="Equation.DSMT4" ShapeID="_x0000_i1038" DrawAspect="Content" ObjectID="_1835778477" r:id="rId36"/>
        </w:object>
      </w:r>
    </w:p>
    <w:p w14:paraId="32C46078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F556D7" w14:textId="50723654" w:rsidR="009726DE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772">
        <w:rPr>
          <w:rFonts w:ascii="Times New Roman" w:hAnsi="Times New Roman" w:cs="Times New Roman"/>
          <w:sz w:val="28"/>
          <w:szCs w:val="28"/>
        </w:rPr>
        <w:t xml:space="preserve">Первое слагаемое отражает раннюю диффузионно-контролируемую стадию роста межфазного сопротивления, второе — квазилинейную стадию накопления потерь активного лития и активного материала, третье — позднюю стадию ускоренной деградации, когда механические нарушения катода начинают резко усиливать рост внутреннего импеданса. Такая форма модели особенно хорошо согласуется с наблюдаемой для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Ni-</w:t>
      </w:r>
      <w:proofErr w:type="spellStart"/>
      <w:r w:rsidRPr="00363772">
        <w:rPr>
          <w:rFonts w:ascii="Times New Roman" w:hAnsi="Times New Roman" w:cs="Times New Roman"/>
          <w:sz w:val="28"/>
          <w:szCs w:val="28"/>
          <w:highlight w:val="yellow"/>
        </w:rPr>
        <w:t>rich</w:t>
      </w:r>
      <w:proofErr w:type="spellEnd"/>
      <w:r w:rsidRPr="00363772">
        <w:rPr>
          <w:rFonts w:ascii="Times New Roman" w:hAnsi="Times New Roman" w:cs="Times New Roman"/>
          <w:sz w:val="28"/>
          <w:szCs w:val="28"/>
        </w:rPr>
        <w:t xml:space="preserve"> NMC переходной динамикой от плавного старта к ускоренному </w:t>
      </w:r>
      <w:proofErr w:type="spellStart"/>
      <w:r w:rsidRPr="00363772">
        <w:rPr>
          <w:rFonts w:ascii="Times New Roman" w:hAnsi="Times New Roman" w:cs="Times New Roman"/>
          <w:sz w:val="28"/>
          <w:szCs w:val="28"/>
          <w:highlight w:val="yellow"/>
        </w:rPr>
        <w:t>power</w:t>
      </w:r>
      <w:proofErr w:type="spellEnd"/>
      <w:r w:rsidRPr="00363772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363772">
        <w:rPr>
          <w:rFonts w:ascii="Times New Roman" w:hAnsi="Times New Roman" w:cs="Times New Roman"/>
          <w:sz w:val="28"/>
          <w:szCs w:val="28"/>
          <w:highlight w:val="yellow"/>
        </w:rPr>
        <w:t>fade</w:t>
      </w:r>
      <w:proofErr w:type="spellEnd"/>
      <w:r w:rsidRPr="00363772">
        <w:rPr>
          <w:rFonts w:ascii="Times New Roman" w:hAnsi="Times New Roman" w:cs="Times New Roman"/>
          <w:sz w:val="28"/>
          <w:szCs w:val="28"/>
        </w:rPr>
        <w:t>.</w:t>
      </w:r>
    </w:p>
    <w:p w14:paraId="0B322843" w14:textId="77777777" w:rsidR="00363772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DD99" w14:textId="239FC8A2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sz w:val="28"/>
          <w:szCs w:val="28"/>
        </w:rPr>
        <w:t>1.2.2 Деградация аккумуляторов типа LFP</w:t>
      </w:r>
    </w:p>
    <w:p w14:paraId="15463BF4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2B8FE" w14:textId="2DF29F8B" w:rsidR="00AD1B3E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lastRenderedPageBreak/>
        <w:t xml:space="preserve">Литий-железо-фосфатные аккумуляторы характеризуются более высокой термической стабильностью, развитой эксплуатационной безопасностью и, как правило, большим циклическим ресурсом по сравнению с NMC. Эти свойства связаны с оливиновой структурой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LiFePO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>, которая термодинамически более устойчива и менее склонна к кислородной нестабильности, однако имеет меньшую собственную электронную проводимость и одномерные каналы диффузии лития. Современные обзоры LFP подчёркивают именно эту двойственность: высокая структурная устойчивость сочетается с более жёсткими требованиями к проводящим покрытиям, размеру частиц и межфазной архитектуре.</w:t>
      </w:r>
    </w:p>
    <w:p w14:paraId="4862550E" w14:textId="1B83857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Для LFP-систем ранняя деградация часто определяется не столько разрушением катода, сколько потерей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лития, деградацией графитового анода и постепенным ростом импеданса на фоне сокращения эффективной реакционной площади. Обзор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Wang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>. указывает, что на ранней стадии главным механизмом является LLI, а затем всё большую роль начинают играть уменьшение активной площади и рост импеданса. Это особенно важно для диссертации, поскольку показывает: даже у сравнительно стабильной химии ключевой прогностический параметр должен быть связан не только с ёмкостью, но и с сопротивлением переноса заряда.</w:t>
      </w:r>
    </w:p>
    <w:p w14:paraId="707891A8" w14:textId="22465C4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>Физически деградация LFP-системы связана с двухфазным механизмом интеркаляции/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деинтеркаляции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в системе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FePO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LiFePO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. В простейшей одномерной постановке диффузия лития в частице описывается вторым законом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, а движение фазовой границы подчиняется условию </w:t>
      </w:r>
      <w:r w:rsidRPr="0051321D">
        <w:rPr>
          <w:rFonts w:ascii="Times New Roman" w:hAnsi="Times New Roman" w:cs="Times New Roman"/>
          <w:sz w:val="28"/>
          <w:szCs w:val="28"/>
          <w:highlight w:val="yellow"/>
        </w:rPr>
        <w:t>потока на интерфейсе</w:t>
      </w:r>
      <w:r w:rsidRPr="0051321D">
        <w:rPr>
          <w:rFonts w:ascii="Times New Roman" w:hAnsi="Times New Roman" w:cs="Times New Roman"/>
          <w:sz w:val="28"/>
          <w:szCs w:val="28"/>
        </w:rPr>
        <w:t xml:space="preserve">. В инженерной аппроксимации это приводит к тому, что параметр </w:t>
      </w:r>
      <w:proofErr w:type="spellStart"/>
      <w:r w:rsidRPr="0051321D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1321D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возрастает медленнее, чем у NMC, но роль диффузионной составляющей остаётся выраженной, особенно при низких температурах и высоких токах.</w:t>
      </w:r>
    </w:p>
    <w:p w14:paraId="6CBC50A9" w14:textId="14ADF4D4" w:rsidR="0051321D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EB4">
        <w:rPr>
          <w:rFonts w:ascii="Times New Roman" w:hAnsi="Times New Roman" w:cs="Times New Roman"/>
          <w:sz w:val="28"/>
          <w:szCs w:val="28"/>
        </w:rPr>
        <w:t>Для LFP в диссертационной постановке целесообразно использовать зависимость</w:t>
      </w:r>
    </w:p>
    <w:p w14:paraId="55D8F883" w14:textId="77777777" w:rsidR="00561EB4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E91A40" w14:textId="6F17183F" w:rsidR="00561EB4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3A31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3320" w:dyaOrig="440" w14:anchorId="55016605">
          <v:shape id="_x0000_i1039" type="#_x0000_t75" style="width:165.75pt;height:21.75pt" o:ole="">
            <v:imagedata r:id="rId37" o:title=""/>
          </v:shape>
          <o:OLEObject Type="Embed" ProgID="Equation.DSMT4" ShapeID="_x0000_i1039" DrawAspect="Content" ObjectID="_1835778478" r:id="rId38"/>
        </w:object>
      </w:r>
    </w:p>
    <w:p w14:paraId="24A7B5DB" w14:textId="77777777" w:rsidR="00561EB4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FA2A01" w14:textId="4C13F483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95CA341" w14:textId="3800C8D4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раннюю межфазную деградацию;</w:t>
      </w:r>
    </w:p>
    <w:p w14:paraId="5CF11EAE" w14:textId="49E083EF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за постепенное нарастание кинетических ограничений.</w:t>
      </w:r>
    </w:p>
    <w:p w14:paraId="34EB3E79" w14:textId="00787EE2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sz w:val="28"/>
          <w:szCs w:val="28"/>
        </w:rPr>
        <w:t>Такая форма позволяет описывать наблюдаемую в ресурсных тестах ситуацию, когда ёмкость уменьшается относительно плавно, но внутренний импеданс устойчиво растёт и начинает ограничивать прежде всего мощностные характеристики батареи.</w:t>
      </w:r>
    </w:p>
    <w:p w14:paraId="484DB3BC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5AE6E" w14:textId="56A0E18D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B66C9">
        <w:rPr>
          <w:rFonts w:ascii="Times New Roman" w:hAnsi="Times New Roman" w:cs="Times New Roman"/>
          <w:b/>
          <w:bCs/>
          <w:sz w:val="28"/>
          <w:szCs w:val="28"/>
        </w:rPr>
        <w:t>1.2.3 Деградация аккумуляторов типа LTO</w:t>
      </w:r>
    </w:p>
    <w:p w14:paraId="47729D60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2D56F" w14:textId="39F565FB" w:rsidR="008B66C9" w:rsidRPr="00A07748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2AB9">
        <w:rPr>
          <w:rFonts w:ascii="Times New Roman" w:hAnsi="Times New Roman" w:cs="Times New Roman"/>
          <w:sz w:val="28"/>
          <w:szCs w:val="28"/>
        </w:rPr>
        <w:t>Литий-</w:t>
      </w:r>
      <w:proofErr w:type="spellStart"/>
      <w:r w:rsidRPr="00962AB9">
        <w:rPr>
          <w:rFonts w:ascii="Times New Roman" w:hAnsi="Times New Roman" w:cs="Times New Roman"/>
          <w:sz w:val="28"/>
          <w:szCs w:val="28"/>
        </w:rPr>
        <w:t>титанатные</w:t>
      </w:r>
      <w:proofErr w:type="spellEnd"/>
      <w:r w:rsidRPr="00962AB9">
        <w:rPr>
          <w:rFonts w:ascii="Times New Roman" w:hAnsi="Times New Roman" w:cs="Times New Roman"/>
          <w:sz w:val="28"/>
          <w:szCs w:val="28"/>
        </w:rPr>
        <w:t xml:space="preserve"> системы принципиально отличаются от </w:t>
      </w:r>
      <w:r w:rsidRPr="001A49AA">
        <w:rPr>
          <w:rFonts w:ascii="Times New Roman" w:hAnsi="Times New Roman" w:cs="Times New Roman"/>
          <w:sz w:val="28"/>
          <w:szCs w:val="28"/>
          <w:highlight w:val="yellow"/>
        </w:rPr>
        <w:t>графитовых</w:t>
      </w:r>
      <w:r w:rsidRPr="00962AB9">
        <w:rPr>
          <w:rFonts w:ascii="Times New Roman" w:hAnsi="Times New Roman" w:cs="Times New Roman"/>
          <w:sz w:val="28"/>
          <w:szCs w:val="28"/>
        </w:rPr>
        <w:t xml:space="preserve"> литий-ионных батарей за счёт использования анода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Li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4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Ti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5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12</w:t>
      </w:r>
      <w:r w:rsidRPr="00962AB9">
        <w:rPr>
          <w:rFonts w:ascii="Times New Roman" w:hAnsi="Times New Roman" w:cs="Times New Roman"/>
          <w:sz w:val="28"/>
          <w:szCs w:val="28"/>
        </w:rPr>
        <w:t xml:space="preserve">.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Для LTO-анода характерно так называемое </w:t>
      </w:r>
      <w:proofErr w:type="spellStart"/>
      <w:r w:rsidR="001A49AA" w:rsidRPr="001A49AA">
        <w:rPr>
          <w:rFonts w:ascii="Times New Roman" w:hAnsi="Times New Roman" w:cs="Times New Roman"/>
          <w:sz w:val="28"/>
          <w:szCs w:val="28"/>
          <w:highlight w:val="yellow"/>
        </w:rPr>
        <w:t>zero-strain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поведение, то есть минимальное изменение объёма при интеркаляции и </w:t>
      </w:r>
      <w:proofErr w:type="spellStart"/>
      <w:r w:rsidR="001A49AA" w:rsidRPr="001A49AA">
        <w:rPr>
          <w:rFonts w:ascii="Times New Roman" w:hAnsi="Times New Roman" w:cs="Times New Roman"/>
          <w:sz w:val="28"/>
          <w:szCs w:val="28"/>
        </w:rPr>
        <w:t>деинтеркаляции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лития. Именно это обстоятельство обеспечивает исключительно высокую циклическую стабильность, малую склонность к литиевому осаждению и хорошие высокомощностные свойства. Современные обзоры прямо связывают высокую долговечность LTO с </w:t>
      </w:r>
      <w:proofErr w:type="spellStart"/>
      <w:r w:rsidR="001A49AA" w:rsidRPr="001A49AA">
        <w:rPr>
          <w:rFonts w:ascii="Times New Roman" w:hAnsi="Times New Roman" w:cs="Times New Roman"/>
          <w:sz w:val="28"/>
          <w:szCs w:val="28"/>
        </w:rPr>
        <w:t>near-zero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A49AA" w:rsidRPr="001A49AA">
        <w:rPr>
          <w:rFonts w:ascii="Times New Roman" w:hAnsi="Times New Roman" w:cs="Times New Roman"/>
          <w:sz w:val="28"/>
          <w:szCs w:val="28"/>
        </w:rPr>
        <w:t>strain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характером анода.</w:t>
      </w:r>
    </w:p>
    <w:p w14:paraId="46EF66D8" w14:textId="336F7FFA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9B5">
        <w:rPr>
          <w:rFonts w:ascii="Times New Roman" w:hAnsi="Times New Roman" w:cs="Times New Roman"/>
          <w:sz w:val="28"/>
          <w:szCs w:val="28"/>
        </w:rPr>
        <w:t>Однако у LTO имеются и принципиальные ограничения. Во-первых, такие системы уступают NMC и LFP по удельной энергии. Во-вторых, для LTO типичны сравнительно низкие электронная и ионная проводимости самого анодного материала, из-за чего для реальных высокомощностных ячеек существенную роль играют архитектура электрода, проводящие добавки и межфазное сопротивление. Современные публикации также указывают на SOC-</w:t>
      </w:r>
      <w:r w:rsidRPr="007649B5">
        <w:rPr>
          <w:rFonts w:ascii="Times New Roman" w:hAnsi="Times New Roman" w:cs="Times New Roman"/>
          <w:sz w:val="28"/>
          <w:szCs w:val="28"/>
        </w:rPr>
        <w:lastRenderedPageBreak/>
        <w:t xml:space="preserve">зависимое и температурно-ускоряемое старение, газообразование и образование поверхностных слоёв, особенно при жёстких режимах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7649B5">
        <w:rPr>
          <w:rFonts w:ascii="Times New Roman" w:hAnsi="Times New Roman" w:cs="Times New Roman"/>
          <w:sz w:val="28"/>
          <w:szCs w:val="28"/>
        </w:rPr>
        <w:t>и высоких температурах.</w:t>
      </w:r>
    </w:p>
    <w:p w14:paraId="635F8921" w14:textId="224ABCF1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>С импедансной точки зрения LTO-системы особенно интересны тем, что собственная деградация анода существенно подавлена, а рост сопротивления во многих конфигурациях определяется в большей степени катодной частью и межфазным сопротивлением, чем разрушением LTO-анода как такового. Это подтверждается и специализированным EIS-исследованием для Li-</w:t>
      </w:r>
      <w:proofErr w:type="spellStart"/>
      <w:r w:rsidRPr="007D40EA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батарей с LTO-анодом, где было показано, что уменьшение ёмкости при циклировании главным образом связано с ростом межфазного сопротивления и деградацией катодной стороны.</w:t>
      </w:r>
    </w:p>
    <w:p w14:paraId="6ADAC690" w14:textId="6DEAFC0B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Для целей диссертации это важно по двум причинам. Во-первых, LTO служит эталонной </w:t>
      </w:r>
      <w:proofErr w:type="spellStart"/>
      <w:r w:rsidRPr="007D40EA">
        <w:rPr>
          <w:rFonts w:ascii="Times New Roman" w:hAnsi="Times New Roman" w:cs="Times New Roman"/>
          <w:sz w:val="28"/>
          <w:szCs w:val="28"/>
        </w:rPr>
        <w:t>высокоресурсной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системой, на которой удобно проверять чувствительность импедансных критериев к медленным </w:t>
      </w:r>
      <w:proofErr w:type="spellStart"/>
      <w:r w:rsidRPr="007D40EA">
        <w:rPr>
          <w:rFonts w:ascii="Times New Roman" w:hAnsi="Times New Roman" w:cs="Times New Roman"/>
          <w:sz w:val="28"/>
          <w:szCs w:val="28"/>
        </w:rPr>
        <w:t>деградационным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процессам. Во-вторых, поведение LTO показывает, что одна и та же диагностическая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40E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D40E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может иметь различную физическую интерпретацию в зависимости от химической системы: в одном случае она отражает преимущественно анодную деградацию, в другом — катодную, в третьем — их совместный вклад.</w:t>
      </w:r>
    </w:p>
    <w:p w14:paraId="67159D09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1141" w14:textId="081619E4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sz w:val="28"/>
          <w:szCs w:val="28"/>
        </w:rPr>
        <w:t>1.2.4 Деградация натрий-ионных аккумуляторов</w:t>
      </w:r>
    </w:p>
    <w:p w14:paraId="1C8DEA4A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2667F" w14:textId="310AEDCB" w:rsidR="0090376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 xml:space="preserve">Натрий-ионные аккумуляторы в последние годы активно рассматриваются как альтернатива литий-ионным системам, особенно в приложениях, где критичны стоимость, сырьевая доступность и независимость от лития. Однако современные исследования показывают, что натрий-ионные системы в целом характеризуются более медленной кинетикой поляризационных процессов и, как следствие, более выраженными импедансными полукругами, что прямо связано </w:t>
      </w:r>
      <w:r w:rsidRPr="008B2348">
        <w:rPr>
          <w:rFonts w:ascii="Times New Roman" w:hAnsi="Times New Roman" w:cs="Times New Roman"/>
          <w:sz w:val="28"/>
          <w:szCs w:val="28"/>
        </w:rPr>
        <w:lastRenderedPageBreak/>
        <w:t>с меньшей подвижностью ионов натрия и более медленным межфазным транспортом.</w:t>
      </w:r>
    </w:p>
    <w:p w14:paraId="1759A9FB" w14:textId="543B06F2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Физическая причина такого поведения заключается в большем ионном радиусе Na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348">
        <w:rPr>
          <w:rFonts w:ascii="Times New Roman" w:hAnsi="Times New Roman" w:cs="Times New Roman"/>
          <w:sz w:val="28"/>
          <w:szCs w:val="28"/>
        </w:rPr>
        <w:t>по сравнению с Li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 w:rsidRPr="008B2348">
        <w:rPr>
          <w:rFonts w:ascii="Times New Roman" w:hAnsi="Times New Roman" w:cs="Times New Roman"/>
          <w:sz w:val="28"/>
          <w:szCs w:val="28"/>
        </w:rPr>
        <w:t>, что повышает энергетический барьер интеркаляции и усиливает чувствительность к геометрии каналов диффузии и к качеству межфазного контакта. В результате у Na</w:t>
      </w:r>
      <w:r w:rsidR="00D4400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8B2348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8B2348">
        <w:rPr>
          <w:rFonts w:ascii="Times New Roman" w:hAnsi="Times New Roman" w:cs="Times New Roman"/>
          <w:sz w:val="28"/>
          <w:szCs w:val="28"/>
        </w:rPr>
        <w:t xml:space="preserve"> аккумуляторов чаще наблюдаются более высокие значения как омической, так и </w:t>
      </w:r>
      <w:proofErr w:type="spellStart"/>
      <w:r w:rsidRPr="008B2348">
        <w:rPr>
          <w:rFonts w:ascii="Times New Roman" w:hAnsi="Times New Roman" w:cs="Times New Roman"/>
          <w:sz w:val="28"/>
          <w:szCs w:val="28"/>
        </w:rPr>
        <w:t>зарядопереносной</w:t>
      </w:r>
      <w:proofErr w:type="spellEnd"/>
      <w:r w:rsidRPr="008B2348">
        <w:rPr>
          <w:rFonts w:ascii="Times New Roman" w:hAnsi="Times New Roman" w:cs="Times New Roman"/>
          <w:sz w:val="28"/>
          <w:szCs w:val="28"/>
        </w:rPr>
        <w:t xml:space="preserve"> составляющей импеданса. Современные обзоры механизмов деградации </w:t>
      </w:r>
      <w:r w:rsidRPr="00D4400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Pr="008B2348">
        <w:rPr>
          <w:rFonts w:ascii="Times New Roman" w:hAnsi="Times New Roman" w:cs="Times New Roman"/>
          <w:sz w:val="28"/>
          <w:szCs w:val="28"/>
        </w:rPr>
        <w:t xml:space="preserve"> подчёркивают также важную роль нестабильности межфазного слоя, структурных превращений катодов и неоднородностей производства коммерческих элементов.</w:t>
      </w:r>
    </w:p>
    <w:p w14:paraId="5A352AC9" w14:textId="41B20294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sz w:val="28"/>
          <w:szCs w:val="28"/>
        </w:rPr>
        <w:t>В инженерном представлении деградацию натрий-ионной системы можно записать как</w:t>
      </w:r>
    </w:p>
    <w:p w14:paraId="133C25A3" w14:textId="77777777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C238E0" w14:textId="0CCB4446" w:rsidR="00EE6018" w:rsidRPr="00445407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45407">
        <w:rPr>
          <w:rFonts w:ascii="Times New Roman" w:hAnsi="Times New Roman" w:cs="Times New Roman"/>
          <w:position w:val="-12"/>
          <w:sz w:val="28"/>
          <w:szCs w:val="28"/>
        </w:rPr>
        <w:object w:dxaOrig="3420" w:dyaOrig="400" w14:anchorId="387CB7D6">
          <v:shape id="_x0000_i1040" type="#_x0000_t75" style="width:171.15pt;height:20.4pt" o:ole="">
            <v:imagedata r:id="rId39" o:title=""/>
          </v:shape>
          <o:OLEObject Type="Embed" ProgID="Equation.DSMT4" ShapeID="_x0000_i1040" DrawAspect="Content" ObjectID="_1835778479" r:id="rId40"/>
        </w:object>
      </w:r>
    </w:p>
    <w:p w14:paraId="08F83134" w14:textId="77777777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B3057C" w14:textId="3A150B98" w:rsidR="00445407" w:rsidRPr="00A07748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445407">
        <w:rPr>
          <w:rFonts w:ascii="Times New Roman" w:hAnsi="Times New Roman" w:cs="Times New Roman"/>
          <w:sz w:val="28"/>
          <w:szCs w:val="28"/>
        </w:rPr>
        <w:t>последнее слагаемое отражает вклад структурных перестроек и объёмных деформаций.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 xml:space="preserve">В отличие от LTO, где деградация распределена более мягко, и от LFP, где ведущую роль может долго играть потеря </w:t>
      </w:r>
      <w:proofErr w:type="spellStart"/>
      <w:r w:rsidRPr="00445407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445407">
        <w:rPr>
          <w:rFonts w:ascii="Times New Roman" w:hAnsi="Times New Roman" w:cs="Times New Roman"/>
          <w:sz w:val="28"/>
          <w:szCs w:val="28"/>
        </w:rPr>
        <w:t xml:space="preserve"> лития, у Na-</w:t>
      </w:r>
      <w:proofErr w:type="spellStart"/>
      <w:r w:rsidRPr="00445407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445407">
        <w:rPr>
          <w:rFonts w:ascii="Times New Roman" w:hAnsi="Times New Roman" w:cs="Times New Roman"/>
          <w:sz w:val="28"/>
          <w:szCs w:val="28"/>
        </w:rPr>
        <w:t xml:space="preserve"> систем часто раньше и сильнее проявляется именно рост поляризационных потерь.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Поэтому в EIS-постановке такие системы особенно показательны для анализа связки «рост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4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4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45407">
        <w:rPr>
          <w:rFonts w:ascii="Times New Roman" w:hAnsi="Times New Roman" w:cs="Times New Roman"/>
          <w:sz w:val="28"/>
          <w:szCs w:val="28"/>
        </w:rPr>
        <w:t xml:space="preserve"> рост общего импеданса — снижение мощности».</w:t>
      </w:r>
    </w:p>
    <w:p w14:paraId="6FB4CF5A" w14:textId="10E714AE" w:rsidR="00445407" w:rsidRPr="00A07748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4A17">
        <w:rPr>
          <w:rFonts w:ascii="Times New Roman" w:hAnsi="Times New Roman" w:cs="Times New Roman"/>
          <w:sz w:val="28"/>
          <w:szCs w:val="28"/>
        </w:rPr>
        <w:t>Для диссертационной логики введение Na-</w:t>
      </w:r>
      <w:proofErr w:type="spellStart"/>
      <w:r w:rsidRPr="00204A17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204A17">
        <w:rPr>
          <w:rFonts w:ascii="Times New Roman" w:hAnsi="Times New Roman" w:cs="Times New Roman"/>
          <w:sz w:val="28"/>
          <w:szCs w:val="28"/>
        </w:rPr>
        <w:t xml:space="preserve"> систем важно ещё и потому, что они позволяют проверить универсальность </w:t>
      </w:r>
      <w:proofErr w:type="spellStart"/>
      <w:r w:rsidRPr="00204A17">
        <w:rPr>
          <w:rFonts w:ascii="Times New Roman" w:hAnsi="Times New Roman" w:cs="Times New Roman"/>
          <w:sz w:val="28"/>
          <w:szCs w:val="28"/>
        </w:rPr>
        <w:t>диагностико</w:t>
      </w:r>
      <w:proofErr w:type="spellEnd"/>
      <w:r w:rsidR="00443C43" w:rsidRPr="00443C43">
        <w:rPr>
          <w:rFonts w:ascii="Times New Roman" w:hAnsi="Times New Roman" w:cs="Times New Roman"/>
          <w:sz w:val="28"/>
          <w:szCs w:val="28"/>
        </w:rPr>
        <w:t>-</w:t>
      </w:r>
      <w:r w:rsidRPr="00204A17">
        <w:rPr>
          <w:rFonts w:ascii="Times New Roman" w:hAnsi="Times New Roman" w:cs="Times New Roman"/>
          <w:sz w:val="28"/>
          <w:szCs w:val="28"/>
        </w:rPr>
        <w:t xml:space="preserve">прогностического аппарата на химии, существенно отличающейся от классических литиевых батарей. Если модель, построенная на параметрах комплексного импеданса, </w:t>
      </w:r>
      <w:r w:rsidRPr="00204A17">
        <w:rPr>
          <w:rFonts w:ascii="Times New Roman" w:hAnsi="Times New Roman" w:cs="Times New Roman"/>
          <w:sz w:val="28"/>
          <w:szCs w:val="28"/>
        </w:rPr>
        <w:lastRenderedPageBreak/>
        <w:t>сохраняет прогностическую состоятельность и для Na-</w:t>
      </w:r>
      <w:proofErr w:type="spellStart"/>
      <w:r w:rsidRPr="00204A17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204A17">
        <w:rPr>
          <w:rFonts w:ascii="Times New Roman" w:hAnsi="Times New Roman" w:cs="Times New Roman"/>
          <w:sz w:val="28"/>
          <w:szCs w:val="28"/>
        </w:rPr>
        <w:t>, это резко усиливает её обобщающую ценность.</w:t>
      </w:r>
    </w:p>
    <w:p w14:paraId="07A27348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7243BB" w14:textId="59FBC81D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43"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Доминирующие </w:t>
      </w:r>
      <w:r w:rsidRPr="00443C43">
        <w:rPr>
          <w:rFonts w:ascii="Times New Roman" w:hAnsi="Times New Roman" w:cs="Times New Roman"/>
          <w:sz w:val="28"/>
          <w:szCs w:val="28"/>
        </w:rPr>
        <w:t>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72"/>
        <w:gridCol w:w="2399"/>
        <w:gridCol w:w="2396"/>
        <w:gridCol w:w="2460"/>
      </w:tblGrid>
      <w:tr w:rsidR="00140008" w14:paraId="49A89F90" w14:textId="77777777" w:rsidTr="00140008">
        <w:tc>
          <w:tcPr>
            <w:tcW w:w="2406" w:type="dxa"/>
          </w:tcPr>
          <w:p w14:paraId="05A6D033" w14:textId="079A7E19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Химическая система</w:t>
            </w:r>
          </w:p>
        </w:tc>
        <w:tc>
          <w:tcPr>
            <w:tcW w:w="2407" w:type="dxa"/>
          </w:tcPr>
          <w:p w14:paraId="6B8DD7D1" w14:textId="148CC97D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Доминирующие механизмы деградации</w:t>
            </w:r>
          </w:p>
        </w:tc>
        <w:tc>
          <w:tcPr>
            <w:tcW w:w="2407" w:type="dxa"/>
          </w:tcPr>
          <w:p w14:paraId="3B9D5BF8" w14:textId="4E3EA763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чувствительные импедансные признаки</w:t>
            </w:r>
          </w:p>
        </w:tc>
        <w:tc>
          <w:tcPr>
            <w:tcW w:w="2407" w:type="dxa"/>
          </w:tcPr>
          <w:p w14:paraId="1EDE1A6E" w14:textId="304CDBC0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уязвимый эксплуатационный фактор</w:t>
            </w:r>
          </w:p>
        </w:tc>
      </w:tr>
      <w:tr w:rsidR="00140008" w14:paraId="7D2B2107" w14:textId="77777777" w:rsidTr="00140008">
        <w:tc>
          <w:tcPr>
            <w:tcW w:w="2406" w:type="dxa"/>
          </w:tcPr>
          <w:p w14:paraId="64FE3A97" w14:textId="6751F74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NMC</w:t>
            </w:r>
          </w:p>
        </w:tc>
        <w:tc>
          <w:tcPr>
            <w:tcW w:w="2407" w:type="dxa"/>
          </w:tcPr>
          <w:p w14:paraId="081AA68C" w14:textId="711EFCA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рост межфазных сопротивлений, микротрещины катода, растворение переходных металлов, потеря активного лития</w:t>
            </w:r>
          </w:p>
        </w:tc>
        <w:tc>
          <w:tcPr>
            <w:tcW w:w="2407" w:type="dxa"/>
          </w:tcPr>
          <w:p w14:paraId="01740DB9" w14:textId="485E5703" w:rsidR="00140008" w:rsidRDefault="0048460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быстрый рост </w:t>
            </w:r>
            <w:proofErr w:type="spellStart"/>
            <w:r w:rsidRPr="0048460B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proofErr w:type="spellEnd"/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, расширение полукруга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графика 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>Найквиста, усиление низкочастотного хвоста</w:t>
            </w:r>
          </w:p>
        </w:tc>
        <w:tc>
          <w:tcPr>
            <w:tcW w:w="2407" w:type="dxa"/>
          </w:tcPr>
          <w:p w14:paraId="5C3F22E9" w14:textId="29AD4642" w:rsidR="00140008" w:rsidRDefault="00E2245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22459">
              <w:rPr>
                <w:rFonts w:ascii="Times New Roman" w:hAnsi="Times New Roman" w:cs="Times New Roman"/>
                <w:sz w:val="28"/>
                <w:szCs w:val="28"/>
              </w:rPr>
              <w:t>высокий SOC, высокая температура, высокое верхнее напряжение</w:t>
            </w:r>
          </w:p>
        </w:tc>
      </w:tr>
      <w:tr w:rsidR="00140008" w14:paraId="223A922C" w14:textId="77777777" w:rsidTr="00140008">
        <w:tc>
          <w:tcPr>
            <w:tcW w:w="2406" w:type="dxa"/>
          </w:tcPr>
          <w:p w14:paraId="7A9F13C8" w14:textId="6C26E457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LFP</w:t>
            </w:r>
          </w:p>
        </w:tc>
        <w:tc>
          <w:tcPr>
            <w:tcW w:w="2407" w:type="dxa"/>
          </w:tcPr>
          <w:p w14:paraId="43C6E4CE" w14:textId="191BA1E4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 xml:space="preserve">потеря </w:t>
            </w:r>
            <w:proofErr w:type="spellStart"/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циклируемого</w:t>
            </w:r>
            <w:proofErr w:type="spellEnd"/>
            <w:r w:rsidRPr="003C4AE3">
              <w:rPr>
                <w:rFonts w:ascii="Times New Roman" w:hAnsi="Times New Roman" w:cs="Times New Roman"/>
                <w:sz w:val="28"/>
                <w:szCs w:val="28"/>
              </w:rPr>
              <w:t xml:space="preserve"> лития, снижение активной площади, рост межфазного сопротивления анода, диффузионные ограничения</w:t>
            </w:r>
          </w:p>
        </w:tc>
        <w:tc>
          <w:tcPr>
            <w:tcW w:w="2407" w:type="dxa"/>
          </w:tcPr>
          <w:p w14:paraId="40448422" w14:textId="5B4915F9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умеренный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выраженная диффузионная область</w:t>
            </w:r>
          </w:p>
        </w:tc>
        <w:tc>
          <w:tcPr>
            <w:tcW w:w="2407" w:type="dxa"/>
          </w:tcPr>
          <w:p w14:paraId="1F8DE944" w14:textId="02479D38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низкие температуры, длительное хранение при высоком SOC, высокий ток</w:t>
            </w:r>
          </w:p>
        </w:tc>
      </w:tr>
      <w:tr w:rsidR="00140008" w14:paraId="657E195D" w14:textId="77777777" w:rsidTr="00140008">
        <w:tc>
          <w:tcPr>
            <w:tcW w:w="2406" w:type="dxa"/>
          </w:tcPr>
          <w:p w14:paraId="3C066BDD" w14:textId="4DB39087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LTO</w:t>
            </w:r>
          </w:p>
        </w:tc>
        <w:tc>
          <w:tcPr>
            <w:tcW w:w="2407" w:type="dxa"/>
          </w:tcPr>
          <w:p w14:paraId="5D64DADE" w14:textId="5E4C0DAD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 xml:space="preserve">межфазное сопротивление, 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газообразование, катодная деградация, температурно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ускоренное старение</w:t>
            </w:r>
          </w:p>
        </w:tc>
        <w:tc>
          <w:tcPr>
            <w:tcW w:w="2407" w:type="dxa"/>
          </w:tcPr>
          <w:p w14:paraId="012D71D6" w14:textId="220A40BC" w:rsidR="00140008" w:rsidRDefault="002D579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D579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медленный рост </w:t>
            </w:r>
            <w:proofErr w:type="spellStart"/>
            <w:r w:rsidRPr="002D579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proofErr w:type="spellEnd"/>
            <w:r w:rsidRPr="002D5799">
              <w:rPr>
                <w:rFonts w:ascii="Times New Roman" w:hAnsi="Times New Roman" w:cs="Times New Roman"/>
                <w:sz w:val="28"/>
                <w:szCs w:val="28"/>
              </w:rPr>
              <w:t xml:space="preserve">, слабый рост </w:t>
            </w:r>
            <w:r w:rsidRPr="002D579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общего импеданса на ранней стадии</w:t>
            </w:r>
          </w:p>
        </w:tc>
        <w:tc>
          <w:tcPr>
            <w:tcW w:w="2407" w:type="dxa"/>
          </w:tcPr>
          <w:p w14:paraId="4774C388" w14:textId="0405A1D0" w:rsidR="00140008" w:rsidRPr="0056443E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lastRenderedPageBreak/>
              <w:t xml:space="preserve">высокие температуры, </w:t>
            </w: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lastRenderedPageBreak/>
              <w:t xml:space="preserve">неблагоприятное SOC-окно, экстремальный </w:t>
            </w:r>
            <w:proofErr w:type="spellStart"/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power</w:t>
            </w:r>
            <w:proofErr w:type="spellEnd"/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 xml:space="preserve"> </w:t>
            </w:r>
            <w:proofErr w:type="spellStart"/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cycling</w:t>
            </w:r>
            <w:proofErr w:type="spellEnd"/>
          </w:p>
        </w:tc>
      </w:tr>
      <w:tr w:rsidR="00140008" w14:paraId="225EA8F9" w14:textId="77777777" w:rsidTr="00140008">
        <w:tc>
          <w:tcPr>
            <w:tcW w:w="2406" w:type="dxa"/>
          </w:tcPr>
          <w:p w14:paraId="319FEBBD" w14:textId="15EEFBAF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Na-</w:t>
            </w:r>
            <w:proofErr w:type="spellStart"/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ion</w:t>
            </w:r>
            <w:proofErr w:type="spellEnd"/>
          </w:p>
        </w:tc>
        <w:tc>
          <w:tcPr>
            <w:tcW w:w="2407" w:type="dxa"/>
          </w:tcPr>
          <w:p w14:paraId="5F237B2A" w14:textId="4AE9EE06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нестабильность интерфейса, структурные превращения катода, замедленный транспорт Na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+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рост поляризации</w:t>
            </w:r>
          </w:p>
        </w:tc>
        <w:tc>
          <w:tcPr>
            <w:tcW w:w="2407" w:type="dxa"/>
          </w:tcPr>
          <w:p w14:paraId="6F38DB5D" w14:textId="27E5F309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высокий начальный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 w:rsidRPr="0056443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2B43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крупные полукруги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сильный рост импеданса при старении</w:t>
            </w:r>
          </w:p>
        </w:tc>
        <w:tc>
          <w:tcPr>
            <w:tcW w:w="2407" w:type="dxa"/>
          </w:tcPr>
          <w:p w14:paraId="73446835" w14:textId="0CD19718" w:rsidR="00140008" w:rsidRDefault="007154B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54BD">
              <w:rPr>
                <w:rFonts w:ascii="Times New Roman" w:hAnsi="Times New Roman" w:cs="Times New Roman"/>
                <w:sz w:val="28"/>
                <w:szCs w:val="28"/>
              </w:rPr>
              <w:t>температурные возмущения, высокие токи, неоднородность материала</w:t>
            </w:r>
          </w:p>
        </w:tc>
      </w:tr>
    </w:tbl>
    <w:p w14:paraId="42AD9D8D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73C1C" w14:textId="75CA3FA3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Таблица фиксирует, что одинаковая наблюдаемая макровеличина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>например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 xml:space="preserve">может иметь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различную причинную природу</w:t>
      </w:r>
      <w:r w:rsidRPr="00216404">
        <w:rPr>
          <w:rFonts w:ascii="Times New Roman" w:hAnsi="Times New Roman" w:cs="Times New Roman"/>
          <w:sz w:val="28"/>
          <w:szCs w:val="28"/>
        </w:rPr>
        <w:t>. Следовательно, в дальнейших разделах диссертации параметрическая идентификация должна сопровождаться химически-специфичной интерпретацией спектра.</w:t>
      </w:r>
    </w:p>
    <w:p w14:paraId="525494A6" w14:textId="51A69974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1CAD35ED" w14:textId="1D94E8D5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  <w:r w:rsidRPr="00216404">
        <w:rPr>
          <w:rFonts w:ascii="Times New Roman" w:hAnsi="Times New Roman" w:cs="Times New Roman"/>
          <w:sz w:val="28"/>
          <w:szCs w:val="28"/>
        </w:rPr>
        <w:t xml:space="preserve"> показывают, что каждая химическая система обладает собственным профилем доминирующих </w:t>
      </w:r>
      <w:proofErr w:type="spellStart"/>
      <w:r w:rsidRPr="00216404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216404">
        <w:rPr>
          <w:rFonts w:ascii="Times New Roman" w:hAnsi="Times New Roman" w:cs="Times New Roman"/>
          <w:sz w:val="28"/>
          <w:szCs w:val="28"/>
        </w:rPr>
        <w:t xml:space="preserve"> механизмов. Это означает, что универсальная диагностика возможна только при сохранении единого математического ядра и одновременном введении химически-специфичных коэффициентов интерпретации.</w:t>
      </w:r>
    </w:p>
    <w:p w14:paraId="3CF7DE4B" w14:textId="69670347" w:rsidR="00216404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E798C6" wp14:editId="3197B26A">
            <wp:extent cx="6119495" cy="3190240"/>
            <wp:effectExtent l="0" t="0" r="0" b="0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6DABD" w14:textId="0A8B821D" w:rsidR="00D400C8" w:rsidRDefault="00824D2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4D26">
        <w:rPr>
          <w:rFonts w:ascii="Times New Roman" w:hAnsi="Times New Roman" w:cs="Times New Roman"/>
          <w:sz w:val="28"/>
          <w:szCs w:val="28"/>
        </w:rPr>
        <w:t xml:space="preserve">Рисунок 1.4 — Доминирующие механизмы деградации по результатам </w:t>
      </w:r>
      <w:r w:rsidRPr="00824D26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</w:p>
    <w:p w14:paraId="63D9B23D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FF949" w14:textId="38FB3BBE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На рисунке представлена сравнительная карта основных механизмов старения для NMC, LFP, LTO и Na-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систем. Числовые индексы отражают относительный вклад межфазного роста, потери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лития или натрия, структурной деградации, роста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зарядопереносного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сопротивления и диффузионных ограничений в суммарную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деградационную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картину исследуемых батарей.</w:t>
      </w:r>
    </w:p>
    <w:p w14:paraId="187963D2" w14:textId="61DD8DBD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 xml:space="preserve">Из рисунка следует, что для NMC наиболее существенны структурная деградация и рост межфазных сопротивлений, для LFP —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зарядопереносная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и диффузионная составляющие, для LTO вклад механизмов распределён более мягко и равномерно, а для Na-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наиболее резко проявляются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зарядопереносные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и диффузионные ограничения. Такая картина согласуется с современными обзорами по соответствующим химическим системам.</w:t>
      </w:r>
    </w:p>
    <w:p w14:paraId="3313B55E" w14:textId="1BDF451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переводит механизм старения из качественного описания в сравнительную матрицу, пригодную для дальнейшей математической параметризации. Практическая ценность состоит в </w:t>
      </w:r>
      <w:r w:rsidRPr="00BB7242">
        <w:rPr>
          <w:rFonts w:ascii="Times New Roman" w:hAnsi="Times New Roman" w:cs="Times New Roman"/>
          <w:sz w:val="28"/>
          <w:szCs w:val="28"/>
        </w:rPr>
        <w:lastRenderedPageBreak/>
        <w:t xml:space="preserve">возможности заранее определить, какой набор импедансных признаков должен быть приоритетным для конкретной химической системы: для NMC — ранний мониторинг </w:t>
      </w:r>
      <w:proofErr w:type="spellStart"/>
      <w:r w:rsidRPr="00BB724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B724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7242">
        <w:rPr>
          <w:rFonts w:ascii="Times New Roman" w:hAnsi="Times New Roman" w:cs="Times New Roman"/>
          <w:sz w:val="28"/>
          <w:szCs w:val="28"/>
        </w:rPr>
        <w:t>структурно-индуцированной поляризации, для LFP — диффузионных изменений, для LTO — долгосрочного дрейфа межфазных параметров, для Na-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— совокупной поляризационной динамики.</w:t>
      </w:r>
    </w:p>
    <w:p w14:paraId="72BE98C9" w14:textId="5253DB4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5D8B08D4" w14:textId="0FF79037" w:rsidR="00BB7242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725">
        <w:rPr>
          <w:rFonts w:ascii="Times New Roman" w:hAnsi="Times New Roman" w:cs="Times New Roman"/>
          <w:sz w:val="28"/>
          <w:szCs w:val="28"/>
        </w:rPr>
        <w:t xml:space="preserve">Кривые деградации относительной ёмкости, полученные в опытной серии циклических испытаний, позволяют проследить различие не только в общем ресурсе батарей, но и в форме </w:t>
      </w:r>
      <w:proofErr w:type="spellStart"/>
      <w:r w:rsidRPr="003A7725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3A7725">
        <w:rPr>
          <w:rFonts w:ascii="Times New Roman" w:hAnsi="Times New Roman" w:cs="Times New Roman"/>
          <w:sz w:val="28"/>
          <w:szCs w:val="28"/>
        </w:rPr>
        <w:t xml:space="preserve"> траектории. Именно форма траектории, а не только точка достижения 80% ёмкости, играет решающую роль при построении прогностической модели.</w:t>
      </w:r>
    </w:p>
    <w:p w14:paraId="0842A7E6" w14:textId="77777777" w:rsidR="003A7725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4C4A6" w14:textId="1EEF3B4F" w:rsidR="003A7725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1FE863" wp14:editId="078E888B">
            <wp:extent cx="6119495" cy="3638550"/>
            <wp:effectExtent l="0" t="0" r="0" b="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6C64B" w14:textId="70751801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53A">
        <w:rPr>
          <w:rFonts w:ascii="Times New Roman" w:hAnsi="Times New Roman" w:cs="Times New Roman"/>
          <w:sz w:val="28"/>
          <w:szCs w:val="28"/>
        </w:rPr>
        <w:t>Рисунок 1.5 — Деградация относительной ёмкости в опытной серии циклических испытаний</w:t>
      </w:r>
    </w:p>
    <w:p w14:paraId="4882A8B6" w14:textId="77777777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83D90" w14:textId="2C2C1886" w:rsidR="0000453A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lastRenderedPageBreak/>
        <w:t>На рисунке представлены зависимости C/C</w:t>
      </w:r>
      <w:r w:rsidRPr="00795D96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795D96">
        <w:rPr>
          <w:rFonts w:ascii="Times New Roman" w:hAnsi="Times New Roman" w:cs="Times New Roman"/>
          <w:sz w:val="28"/>
          <w:szCs w:val="28"/>
        </w:rPr>
        <w:t xml:space="preserve"> от числа циклов для NMC, LFP, LTO и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батарей. Горизонтальная линия соответствует принятому пороговому критерию конца ресурса по ёмкости, равному 80% от исходного значения. Кривая NMC демонстрирует наиболее ранний переход к ускоренному снижению ёмкости; LFP убывает медленнее и более плавно; LTO сохраняет наивысшую стабильность во всём диапазоне циклирования;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занимает промежуточное положение, однако характеризуется более выраженным ускорением деградации на поздних стадиях</w:t>
      </w:r>
    </w:p>
    <w:p w14:paraId="7BC544E0" w14:textId="4931796C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подчёркивает различие 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законов для разных химических систем. Для NMC и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существенно выражена нелинейная ускоряющаяся стадия старения, тогда как для LFP и особенно LTO траектория дольше сохраняет квазилинейный характер. Это означает, что прогностическая модель </w:t>
      </w:r>
      <w:r w:rsidRPr="00795D96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795D96">
        <w:rPr>
          <w:rFonts w:ascii="Times New Roman" w:hAnsi="Times New Roman" w:cs="Times New Roman"/>
          <w:sz w:val="28"/>
          <w:szCs w:val="28"/>
        </w:rPr>
        <w:t xml:space="preserve"> линейной аппроксимации для всех химий.</w:t>
      </w:r>
    </w:p>
    <w:p w14:paraId="0BAE5317" w14:textId="50AE28A0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заключается в возможности формирования химически-адаптивных эксплуатационных регламентов. Для NMC важен более ранний переход к режимам щадящей эксплуатации при росте импеданса, для LFP — контроль длительного </w:t>
      </w:r>
      <w:proofErr w:type="spellStart"/>
      <w:r w:rsidRPr="00795D96">
        <w:rPr>
          <w:rFonts w:ascii="Times New Roman" w:hAnsi="Times New Roman" w:cs="Times New Roman"/>
          <w:sz w:val="28"/>
          <w:szCs w:val="28"/>
          <w:highlight w:val="yellow"/>
        </w:rPr>
        <w:t>power</w:t>
      </w:r>
      <w:proofErr w:type="spellEnd"/>
      <w:r w:rsidRPr="00795D96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795D96">
        <w:rPr>
          <w:rFonts w:ascii="Times New Roman" w:hAnsi="Times New Roman" w:cs="Times New Roman"/>
          <w:sz w:val="28"/>
          <w:szCs w:val="28"/>
          <w:highlight w:val="yellow"/>
        </w:rPr>
        <w:t>fade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>, для LTO — мониторинг сверхдолгосрочного ресурса, для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— предупреждение ускоренной поляризационной деградации.</w:t>
      </w:r>
    </w:p>
    <w:p w14:paraId="38F6DB1F" w14:textId="5B1DB699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Однако с точки зрения импедансной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89CC5" w14:textId="2187D9CE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A9B">
        <w:rPr>
          <w:rFonts w:ascii="Times New Roman" w:hAnsi="Times New Roman" w:cs="Times New Roman"/>
          <w:sz w:val="28"/>
          <w:szCs w:val="28"/>
        </w:rPr>
        <w:t xml:space="preserve">Даже в тех случаях, когда потеря ёмкости остаётся умеренной, сопротивление переноса заряда может возрастать существенно быстрее. Это особенно важно для тягового применения, поскольку именно </w:t>
      </w:r>
      <w:r w:rsidRPr="00574A9B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74A9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74A9B">
        <w:rPr>
          <w:rFonts w:ascii="Times New Roman" w:hAnsi="Times New Roman" w:cs="Times New Roman"/>
          <w:sz w:val="28"/>
          <w:szCs w:val="28"/>
        </w:rPr>
        <w:t xml:space="preserve"> потерями и точностью прогноза остаточного ресурса.</w:t>
      </w:r>
    </w:p>
    <w:p w14:paraId="23DED1A8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367C54" w14:textId="49A83929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CA056E" wp14:editId="05861BDC">
            <wp:extent cx="6119495" cy="3638550"/>
            <wp:effectExtent l="0" t="0" r="0" b="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A3CA" w14:textId="09AE5B3A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021">
        <w:rPr>
          <w:rFonts w:ascii="Times New Roman" w:hAnsi="Times New Roman" w:cs="Times New Roman"/>
          <w:sz w:val="28"/>
          <w:szCs w:val="28"/>
        </w:rPr>
        <w:t>Рисунок 1.6 — Рост сопротивления переноса заряда в процессе старения</w:t>
      </w:r>
    </w:p>
    <w:p w14:paraId="2C5B7C38" w14:textId="7EEA0AC6" w:rsidR="002A4021" w:rsidRPr="00A07748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C0E">
        <w:rPr>
          <w:rFonts w:ascii="Times New Roman" w:hAnsi="Times New Roman" w:cs="Times New Roman"/>
          <w:sz w:val="28"/>
          <w:szCs w:val="28"/>
        </w:rPr>
        <w:t xml:space="preserve">На рисунке представлены экспериментальные зависимости </w:t>
      </w:r>
      <w:proofErr w:type="spellStart"/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026C0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26C0E">
        <w:rPr>
          <w:rFonts w:ascii="Times New Roman" w:hAnsi="Times New Roman" w:cs="Times New Roman"/>
          <w:sz w:val="28"/>
          <w:szCs w:val="28"/>
        </w:rPr>
        <w:t xml:space="preserve"> для NMC, LFP, LTO и Na-</w:t>
      </w:r>
      <w:proofErr w:type="spellStart"/>
      <w:r w:rsidRPr="00026C0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026C0E">
        <w:rPr>
          <w:rFonts w:ascii="Times New Roman" w:hAnsi="Times New Roman" w:cs="Times New Roman"/>
          <w:sz w:val="28"/>
          <w:szCs w:val="28"/>
        </w:rPr>
        <w:t xml:space="preserve"> батарей. Видно, что Na-</w:t>
      </w:r>
      <w:proofErr w:type="spellStart"/>
      <w:r w:rsidRPr="00026C0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026C0E">
        <w:rPr>
          <w:rFonts w:ascii="Times New Roman" w:hAnsi="Times New Roman" w:cs="Times New Roman"/>
          <w:sz w:val="28"/>
          <w:szCs w:val="28"/>
        </w:rPr>
        <w:t xml:space="preserve"> элементы уже на начальной стадии имеют наибольшие значения </w:t>
      </w:r>
      <w:proofErr w:type="spellStart"/>
      <w:r w:rsidRPr="00026C0E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26C0E">
        <w:rPr>
          <w:rFonts w:ascii="Times New Roman" w:hAnsi="Times New Roman" w:cs="Times New Roman"/>
          <w:sz w:val="28"/>
          <w:szCs w:val="28"/>
        </w:rPr>
        <w:t>а затем демонстрируют наиболее резкий рост.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NMC характеризуется умеренным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начальным значением, но заметным ускорением старения после 2000 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LFP показывает более плавный рост, а LTO — наиболее медленный дрейф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026C0E">
        <w:rPr>
          <w:rFonts w:ascii="Times New Roman" w:hAnsi="Times New Roman" w:cs="Times New Roman"/>
          <w:sz w:val="28"/>
          <w:szCs w:val="28"/>
        </w:rPr>
        <w:t xml:space="preserve"> во всём исследованном диапазоне.</w:t>
      </w:r>
    </w:p>
    <w:p w14:paraId="33D10504" w14:textId="2F86B410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02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прямом подтверждении того, что </w:t>
      </w:r>
      <w:proofErr w:type="spellStart"/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B30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1B3024">
        <w:rPr>
          <w:rFonts w:ascii="Times New Roman" w:hAnsi="Times New Roman" w:cs="Times New Roman"/>
          <w:sz w:val="28"/>
          <w:szCs w:val="28"/>
        </w:rPr>
        <w:t xml:space="preserve"> является химически универсальным, но количественно различным индикатором деградации. Это делает его естественным кандидатом на роль базовой диагностической переменной в будущей 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B5BB7" w:rsidRPr="00EB5BB7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позволяет заранее оценивать потерю доступной мощности батарейного модуля ещё до достижения формального порога конца ресурса по ёмкости.</w:t>
      </w:r>
    </w:p>
    <w:p w14:paraId="3F8F136C" w14:textId="6D335DAA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23454843" w14:textId="067FD7EA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587A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Термочувствительность</w:t>
      </w:r>
      <w:proofErr w:type="spellEnd"/>
      <w:r w:rsidRPr="00E5587A">
        <w:rPr>
          <w:rFonts w:ascii="Times New Roman" w:hAnsi="Times New Roman" w:cs="Times New Roman"/>
          <w:sz w:val="28"/>
          <w:szCs w:val="28"/>
        </w:rPr>
        <w:t xml:space="preserve"> деградации определяет необходимость включения температурной переменной в любую ресурсную модель. Результаты термоциклической серии показывают, что ускорение старения имеет выраженный экспоненциальный характер, но коэффициенты температурного ускорения зависят от типа батареи</w:t>
      </w:r>
    </w:p>
    <w:p w14:paraId="2D3F4F66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D72DAB" w14:textId="3202FE94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28A387" wp14:editId="7BB8E1AF">
            <wp:extent cx="6119495" cy="3638550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7EDB" w14:textId="39CF017F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6DD">
        <w:rPr>
          <w:rFonts w:ascii="Times New Roman" w:hAnsi="Times New Roman" w:cs="Times New Roman"/>
          <w:sz w:val="28"/>
          <w:szCs w:val="28"/>
        </w:rPr>
        <w:t>Рисунок 1.7 — Температурное ускорение деградации по результатам термоциклических испытаний</w:t>
      </w:r>
    </w:p>
    <w:p w14:paraId="28F5DD09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B11DC" w14:textId="0F196002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A45">
        <w:rPr>
          <w:rFonts w:ascii="Times New Roman" w:hAnsi="Times New Roman" w:cs="Times New Roman"/>
          <w:sz w:val="28"/>
          <w:szCs w:val="28"/>
        </w:rPr>
        <w:t xml:space="preserve">На рисунке приведены относительные коэффициенты ускорения деградации </w:t>
      </w:r>
      <w:r w:rsidRPr="00956A45">
        <w:rPr>
          <w:rFonts w:ascii="Times New Roman" w:hAnsi="Times New Roman" w:cs="Times New Roman"/>
          <w:i/>
          <w:iCs/>
          <w:sz w:val="28"/>
          <w:szCs w:val="28"/>
        </w:rPr>
        <w:t>k/k</w:t>
      </w:r>
      <w:r w:rsidRPr="00956A4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20</w:t>
      </w:r>
      <w:r w:rsidRPr="00956A45">
        <w:rPr>
          <w:rFonts w:ascii="Times New Roman" w:hAnsi="Times New Roman" w:cs="Times New Roman"/>
          <w:sz w:val="28"/>
          <w:szCs w:val="28"/>
        </w:rPr>
        <w:t xml:space="preserve"> для NMC, LFP, LTO и Na-</w:t>
      </w:r>
      <w:proofErr w:type="spellStart"/>
      <w:r w:rsidRPr="00956A45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956A45">
        <w:rPr>
          <w:rFonts w:ascii="Times New Roman" w:hAnsi="Times New Roman" w:cs="Times New Roman"/>
          <w:sz w:val="28"/>
          <w:szCs w:val="28"/>
        </w:rPr>
        <w:t xml:space="preserve"> систем при повышении температуры. Все кривые имеют нелинейный возрастающий характер, согласующийся с </w:t>
      </w:r>
      <w:proofErr w:type="spellStart"/>
      <w:r w:rsidRPr="00956A45">
        <w:rPr>
          <w:rFonts w:ascii="Times New Roman" w:hAnsi="Times New Roman" w:cs="Times New Roman"/>
          <w:sz w:val="28"/>
          <w:szCs w:val="28"/>
          <w:highlight w:val="yellow"/>
        </w:rPr>
        <w:t>аррениусовской</w:t>
      </w:r>
      <w:proofErr w:type="spellEnd"/>
      <w:r w:rsidRPr="00956A45">
        <w:rPr>
          <w:rFonts w:ascii="Times New Roman" w:hAnsi="Times New Roman" w:cs="Times New Roman"/>
          <w:sz w:val="28"/>
          <w:szCs w:val="28"/>
          <w:highlight w:val="yellow"/>
        </w:rPr>
        <w:t xml:space="preserve"> природой деградации</w:t>
      </w:r>
      <w:r w:rsidRPr="00956A45">
        <w:rPr>
          <w:rFonts w:ascii="Times New Roman" w:hAnsi="Times New Roman" w:cs="Times New Roman"/>
          <w:sz w:val="28"/>
          <w:szCs w:val="28"/>
        </w:rPr>
        <w:t>. Наиболее чувствительными оказываются NMC и Na-</w:t>
      </w:r>
      <w:proofErr w:type="spellStart"/>
      <w:r w:rsidRPr="00956A45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956A45">
        <w:rPr>
          <w:rFonts w:ascii="Times New Roman" w:hAnsi="Times New Roman" w:cs="Times New Roman"/>
          <w:sz w:val="28"/>
          <w:szCs w:val="28"/>
        </w:rPr>
        <w:t xml:space="preserve"> системы, тогда как LTO демонстрирует наименьшее относительное ускорение старения.</w:t>
      </w:r>
    </w:p>
    <w:p w14:paraId="51FE36F5" w14:textId="0C372371" w:rsidR="00956A45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lastRenderedPageBreak/>
        <w:t>Научная ценность рисунка заключается в подтверждении необходимости явного температурного параметра в модели деградации. Практическая польза состоит в возможности корректировки прогноза остаточного ресурса в зависимости от реального теплового режима эксплуатации, а также в выборе приоритетных мер теплового управления для конкретной химии.</w:t>
      </w:r>
    </w:p>
    <w:p w14:paraId="199B692F" w14:textId="0CA6ED1E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В итоге можно сделать следующий вывод. Деградация NMC, LFP, LTO и Na-</w:t>
      </w:r>
      <w:proofErr w:type="spellStart"/>
      <w:r w:rsidRPr="0080637A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80637A">
        <w:rPr>
          <w:rFonts w:ascii="Times New Roman" w:hAnsi="Times New Roman" w:cs="Times New Roman"/>
          <w:sz w:val="28"/>
          <w:szCs w:val="28"/>
        </w:rPr>
        <w:t xml:space="preserve"> батарей имеет общие физические основания — межфазные реакции, потерю активных носителей, рост внутренних сопротивлений и влияние температуры, но реализуется через различающиеся доминирующие механизмы и разные темпы накопления повреждений. Поэтому дальнейшая теория диагностики и прогнозирования должна строиться как унифицированная по математическому аппарату, но химически-адаптивная по параметрам интерпретации. Именно такой подход позволяет перейти от частных моделей отдельных батарей к общей системе оценки технического состояния и остаточного ресурса тяговых аккумуляторных батарей различных электрохимических систем.</w:t>
      </w:r>
    </w:p>
    <w:p w14:paraId="7FDD505E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B50C0" w14:textId="7DA3FAE2" w:rsidR="00234A24" w:rsidRPr="00A07748" w:rsidRDefault="00A077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7748">
        <w:rPr>
          <w:rFonts w:ascii="Times New Roman" w:hAnsi="Times New Roman" w:cs="Times New Roman"/>
          <w:b/>
          <w:bCs/>
          <w:sz w:val="28"/>
          <w:szCs w:val="28"/>
        </w:rPr>
        <w:t>1.3 Показатели технического состояния аккумуляторных батарей: SOC, SOH, SOF и RUL</w:t>
      </w:r>
    </w:p>
    <w:p w14:paraId="1D04881E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710D" w14:textId="015F5DE3" w:rsidR="00A07748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 xml:space="preserve">Оценка технического состояния тяговой аккумуляторной батареи требует использования системы взаимосвязанных диагностических параметров, поскольку ни один отдельный показатель не способен одновременно описать запас энергии, степень деградации, доступную мощность и ожидаемый остаточный срок службы. В инженерной и научной практике для этих целей применяются четыре базовых индикатора: состояние заряда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SOC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 xml:space="preserve">состояние здоровья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, состояние мощности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C2560F">
        <w:rPr>
          <w:rFonts w:ascii="Times New Roman" w:hAnsi="Times New Roman" w:cs="Times New Roman"/>
          <w:sz w:val="28"/>
          <w:szCs w:val="28"/>
        </w:rPr>
        <w:t xml:space="preserve"> и остаточный ресурс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C2560F">
        <w:rPr>
          <w:rFonts w:ascii="Times New Roman" w:hAnsi="Times New Roman" w:cs="Times New Roman"/>
          <w:sz w:val="28"/>
          <w:szCs w:val="28"/>
        </w:rPr>
        <w:t xml:space="preserve">. В рамках настоящего исследования данные показатели рассматриваются не как </w:t>
      </w:r>
      <w:r w:rsidRPr="00C2560F">
        <w:rPr>
          <w:rFonts w:ascii="Times New Roman" w:hAnsi="Times New Roman" w:cs="Times New Roman"/>
          <w:sz w:val="28"/>
          <w:szCs w:val="28"/>
        </w:rPr>
        <w:lastRenderedPageBreak/>
        <w:t xml:space="preserve">независимые эмпирические величины, а как параметры единой </w:t>
      </w:r>
      <w:proofErr w:type="spellStart"/>
      <w:r w:rsidRPr="00C2560F">
        <w:rPr>
          <w:rFonts w:ascii="Times New Roman" w:hAnsi="Times New Roman" w:cs="Times New Roman"/>
          <w:sz w:val="28"/>
          <w:szCs w:val="28"/>
        </w:rPr>
        <w:t>диагностико</w:t>
      </w:r>
      <w:proofErr w:type="spellEnd"/>
      <w:r w:rsidRPr="00C2560F">
        <w:rPr>
          <w:rFonts w:ascii="Times New Roman" w:hAnsi="Times New Roman" w:cs="Times New Roman"/>
          <w:sz w:val="28"/>
          <w:szCs w:val="28"/>
        </w:rPr>
        <w:t>-прогностической системы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>которая в дальнейшем связывается с характеристиками комплексного импеданса тяговой батареи.</w:t>
      </w:r>
    </w:p>
    <w:p w14:paraId="4B2F05EF" w14:textId="16B271E9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>Между указанными показателями существует естественная иерархия.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2560F">
        <w:rPr>
          <w:rFonts w:ascii="Times New Roman" w:hAnsi="Times New Roman" w:cs="Times New Roman"/>
          <w:sz w:val="28"/>
          <w:szCs w:val="28"/>
        </w:rPr>
        <w:t xml:space="preserve"> описывает текущее количество накопленного заряда и отражает краткосрочное состояние батареи.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 характеризует накопленную деградацию и определяет, насколько текущие свойства батареи отличаются от исходных. Параметр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отражает способность батареи обеспечить требуемую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мощность в текущем состоянии и тем самым связывает энергетическое и силовое состояние системы. Наконец, параметр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даёт прогностическую оценку числа циклов или времени до достижения предельного состояния. В логике диссертационной работы переход от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733DF">
        <w:rPr>
          <w:rFonts w:ascii="Times New Roman" w:hAnsi="Times New Roman" w:cs="Times New Roman"/>
          <w:sz w:val="28"/>
          <w:szCs w:val="28"/>
        </w:rPr>
        <w:t xml:space="preserve">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8733DF">
        <w:rPr>
          <w:rFonts w:ascii="Times New Roman" w:hAnsi="Times New Roman" w:cs="Times New Roman"/>
          <w:sz w:val="28"/>
          <w:szCs w:val="28"/>
        </w:rPr>
        <w:t xml:space="preserve">, затем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8733DF">
        <w:rPr>
          <w:rFonts w:ascii="Times New Roman" w:hAnsi="Times New Roman" w:cs="Times New Roman"/>
          <w:sz w:val="28"/>
          <w:szCs w:val="28"/>
        </w:rPr>
        <w:t xml:space="preserve"> и далее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представляет собой переход от мгновенного мониторинга к физически обоснованному прогнозу ресурса.</w:t>
      </w:r>
    </w:p>
    <w:p w14:paraId="6B563DC6" w14:textId="77777777" w:rsidR="008733DF" w:rsidRDefault="008733D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2D29E1" w14:textId="166D83DB" w:rsidR="008733DF" w:rsidRPr="00E02636" w:rsidRDefault="00E02636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636">
        <w:rPr>
          <w:rFonts w:ascii="Times New Roman" w:hAnsi="Times New Roman" w:cs="Times New Roman"/>
          <w:b/>
          <w:bCs/>
          <w:sz w:val="28"/>
          <w:szCs w:val="28"/>
        </w:rPr>
        <w:t>1.3.1 Состояние заряда батареи</w:t>
      </w:r>
    </w:p>
    <w:p w14:paraId="3BB9990C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E31A3" w14:textId="570B9180" w:rsidR="00E02636" w:rsidRPr="00764CBB" w:rsidRDefault="00B778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83E">
        <w:rPr>
          <w:rFonts w:ascii="Times New Roman" w:hAnsi="Times New Roman" w:cs="Times New Roman"/>
          <w:sz w:val="28"/>
          <w:szCs w:val="28"/>
        </w:rPr>
        <w:t>Состояние заряда SO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7783E">
        <w:rPr>
          <w:rFonts w:ascii="Times New Roman" w:hAnsi="Times New Roman" w:cs="Times New Roman"/>
          <w:sz w:val="28"/>
          <w:szCs w:val="28"/>
        </w:rPr>
        <w:t xml:space="preserve"> определяется как отношение текущего заряда батареи к её номинальной или доступной ёмкости:</w:t>
      </w:r>
    </w:p>
    <w:p w14:paraId="589BB0F8" w14:textId="77777777" w:rsidR="00C40F1C" w:rsidRPr="00764CBB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FD9DDB" w14:textId="5FD59492" w:rsidR="00C40F1C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DA0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6DB257FF">
          <v:shape id="_x0000_i1041" type="#_x0000_t75" style="width:107.3pt;height:33.95pt" o:ole="">
            <v:imagedata r:id="rId45" o:title=""/>
          </v:shape>
          <o:OLEObject Type="Embed" ProgID="Equation.DSMT4" ShapeID="_x0000_i1041" DrawAspect="Content" ObjectID="_1835778480" r:id="rId46"/>
        </w:object>
      </w:r>
    </w:p>
    <w:p w14:paraId="06F5E985" w14:textId="77777777" w:rsidR="00C40F1C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23D1FE" w14:textId="58AC9FE4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6DA0">
        <w:rPr>
          <w:rFonts w:ascii="Times New Roman" w:hAnsi="Times New Roman" w:cs="Times New Roman"/>
          <w:sz w:val="28"/>
          <w:szCs w:val="28"/>
        </w:rPr>
        <w:t>Если заряд оценивается через ток нагрузки, то из закона сохранения заряда следует выражение</w:t>
      </w:r>
    </w:p>
    <w:p w14:paraId="02B14E32" w14:textId="77777777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B0713C" w14:textId="64E8F752" w:rsidR="00C26DA0" w:rsidRDefault="007A32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32DC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3159" w:dyaOrig="680" w14:anchorId="63295281">
          <v:shape id="_x0000_i1042" type="#_x0000_t75" style="width:157.6pt;height:33.95pt" o:ole="">
            <v:imagedata r:id="rId47" o:title=""/>
          </v:shape>
          <o:OLEObject Type="Embed" ProgID="Equation.DSMT4" ShapeID="_x0000_i1042" DrawAspect="Content" ObjectID="_1835778481" r:id="rId48"/>
        </w:object>
      </w:r>
    </w:p>
    <w:p w14:paraId="42179665" w14:textId="77777777" w:rsidR="00C26DA0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6A1067" w14:textId="5BDE6A9F" w:rsidR="007A32DC" w:rsidRPr="00764CBB" w:rsidRDefault="003E7F8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F8F">
        <w:rPr>
          <w:rFonts w:ascii="Times New Roman" w:hAnsi="Times New Roman" w:cs="Times New Roman"/>
          <w:sz w:val="28"/>
          <w:szCs w:val="28"/>
        </w:rPr>
        <w:t>Происхождение данной формулы связано с интегральной формой уравнения непрерывности заряда. При отсутствии утечек и паразитических токов изменение количества заряда в батарее равно интегралу проходящего тока. Именно поэтому кулоновский счёт остаётся базовой процедурой BMS. Однако для тяговых батарей этот метод имеет два принципиальных ограничения.</w:t>
      </w:r>
    </w:p>
    <w:p w14:paraId="0F29DE87" w14:textId="6E89A137" w:rsidR="003E7F8F" w:rsidRPr="00764CBB" w:rsidRDefault="00D1756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56A">
        <w:rPr>
          <w:rFonts w:ascii="Times New Roman" w:hAnsi="Times New Roman" w:cs="Times New Roman"/>
          <w:sz w:val="28"/>
          <w:szCs w:val="28"/>
        </w:rPr>
        <w:t xml:space="preserve">Первое ограничение связано с погрешностью измерения тока. Даже малая систематическая ошибка датчика или нулевая дрейфовая составляющая приводит к интегральному накоплению ошибки. Второе ограничение является более фундаментальным: в формуле используется </w:t>
      </w:r>
      <w:proofErr w:type="spellStart"/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175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1756A">
        <w:rPr>
          <w:rFonts w:ascii="Times New Roman" w:hAnsi="Times New Roman" w:cs="Times New Roman"/>
          <w:sz w:val="28"/>
          <w:szCs w:val="28"/>
        </w:rPr>
        <w:t>тогда как реальная доступная ёмкость деградирующей батареи уменьшается со временем.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Следовательно,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кулоновский счёт без адаптации к текущему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D1756A">
        <w:rPr>
          <w:rFonts w:ascii="Times New Roman" w:hAnsi="Times New Roman" w:cs="Times New Roman"/>
          <w:sz w:val="28"/>
          <w:szCs w:val="28"/>
        </w:rPr>
        <w:t xml:space="preserve"> неизбежно утрачивает точность при длительной эксплуатации. Именно поэтому в задачах прогноза ресурса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1756A">
        <w:rPr>
          <w:rFonts w:ascii="Times New Roman" w:hAnsi="Times New Roman" w:cs="Times New Roman"/>
          <w:sz w:val="28"/>
          <w:szCs w:val="28"/>
        </w:rPr>
        <w:t xml:space="preserve"> следует рассматривать как необходимый, но недостаточный показатель.</w:t>
      </w:r>
    </w:p>
    <w:p w14:paraId="1F713733" w14:textId="22E61C44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Для тяговых аккумуляторных батарей характерно и то обстоятельство, что погрешность оценки </w:t>
      </w:r>
      <w:r w:rsidRPr="00E3731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3731B">
        <w:rPr>
          <w:rFonts w:ascii="Times New Roman" w:hAnsi="Times New Roman" w:cs="Times New Roman"/>
          <w:sz w:val="28"/>
          <w:szCs w:val="28"/>
        </w:rPr>
        <w:t xml:space="preserve"> особенно заметна в режиме частичных циклов, частой рекуперации и изменяющихся токовых профилей. В этих условиях ошибка не только возрастает, но и теряет монотонный характер, поскольку реальные токовые траектории содержат чередование положительных и отрицательных участков различной длительности.</w:t>
      </w:r>
    </w:p>
    <w:p w14:paraId="69ADA5B6" w14:textId="45731FE7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>В опытной серии нагрузочных испытаний была выполнена оценка состояния заряда батарейного модуля по методу кулоновского счёта и сопоставлена с эталонным значением, полученным по совмещённой токо-</w:t>
      </w:r>
      <w:proofErr w:type="spellStart"/>
      <w:r w:rsidRPr="00E3731B">
        <w:rPr>
          <w:rFonts w:ascii="Times New Roman" w:hAnsi="Times New Roman" w:cs="Times New Roman"/>
          <w:sz w:val="28"/>
          <w:szCs w:val="28"/>
          <w:highlight w:val="yellow"/>
        </w:rPr>
        <w:t>напряженческой</w:t>
      </w:r>
      <w:proofErr w:type="spellEnd"/>
      <w:r w:rsidRPr="00E3731B">
        <w:rPr>
          <w:rFonts w:ascii="Times New Roman" w:hAnsi="Times New Roman" w:cs="Times New Roman"/>
          <w:sz w:val="28"/>
          <w:szCs w:val="28"/>
          <w:highlight w:val="yellow"/>
        </w:rPr>
        <w:t xml:space="preserve"> процедуре</w:t>
      </w:r>
      <w:r w:rsidRPr="00E3731B">
        <w:rPr>
          <w:rFonts w:ascii="Times New Roman" w:hAnsi="Times New Roman" w:cs="Times New Roman"/>
          <w:sz w:val="28"/>
          <w:szCs w:val="28"/>
        </w:rPr>
        <w:t xml:space="preserve"> коррекции. Это позволило количественно продемонстрировать накопление ошибки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Pr="00074F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="00074F0F" w:rsidRPr="00074F0F">
        <w:rPr>
          <w:rFonts w:ascii="Times New Roman" w:hAnsi="Times New Roman" w:cs="Times New Roman"/>
          <w:sz w:val="28"/>
          <w:szCs w:val="28"/>
        </w:rPr>
        <w:t>в реальном нестационарном режиме.</w:t>
      </w:r>
    </w:p>
    <w:p w14:paraId="08A3F543" w14:textId="77777777" w:rsidR="00074F0F" w:rsidRPr="00764CBB" w:rsidRDefault="00074F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FE218" w14:textId="01444B75" w:rsidR="00074F0F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DB5F583" wp14:editId="1D64130D">
            <wp:extent cx="6119495" cy="3522980"/>
            <wp:effectExtent l="0" t="0" r="0" b="1270"/>
            <wp:docPr id="335996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11A10" w14:textId="4863D0FB" w:rsidR="00486F2C" w:rsidRPr="00486F2C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F2C">
        <w:rPr>
          <w:rFonts w:ascii="Times New Roman" w:hAnsi="Times New Roman" w:cs="Times New Roman"/>
          <w:sz w:val="28"/>
          <w:szCs w:val="28"/>
        </w:rPr>
        <w:t>Рисунок 1.8 — Накопление ошибки оценки состояния заряда при длительном движении</w:t>
      </w:r>
    </w:p>
    <w:p w14:paraId="4AE1065C" w14:textId="77777777" w:rsidR="00486F2C" w:rsidRPr="00764CBB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CD92B" w14:textId="45D0D3D1" w:rsidR="00486F2C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>На рисунке показаны две кривые: истинное значение состояния заряда и оценка, полученная методом кулоновского счёта. Видно, что по мере роста времени движения и накопления интегральной нагрузки оценка начинает систематически отклоняться от истинной траектории. При этом ошибка не является чисто случайной; она формируется вследствие дрейфа измерения тока, неучтённых потерь и, что особенно важно, изменения фактической доступной ёмкости батареи.</w:t>
      </w:r>
    </w:p>
    <w:p w14:paraId="27144E3F" w14:textId="79489AAF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демонстрации методологического ограничения классического кулоновского счёта. Это подтверждает, что параметр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 сам по себе не может служить базой для надёжной оценки ресурса. Практическая ценность рисунка состоит в обосновании необходимости совместного использования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-оценки с </w:t>
      </w:r>
      <w:proofErr w:type="spellStart"/>
      <w:r w:rsidRPr="00AA580B">
        <w:rPr>
          <w:rFonts w:ascii="Times New Roman" w:hAnsi="Times New Roman" w:cs="Times New Roman"/>
          <w:sz w:val="28"/>
          <w:szCs w:val="28"/>
        </w:rPr>
        <w:lastRenderedPageBreak/>
        <w:t>деградационными</w:t>
      </w:r>
      <w:proofErr w:type="spellEnd"/>
      <w:r w:rsidRPr="00AA580B">
        <w:rPr>
          <w:rFonts w:ascii="Times New Roman" w:hAnsi="Times New Roman" w:cs="Times New Roman"/>
          <w:sz w:val="28"/>
          <w:szCs w:val="28"/>
        </w:rPr>
        <w:t xml:space="preserve"> и импедансными индикаторами, особенно в системах управления тяговыми батареями электротранспорта.</w:t>
      </w:r>
    </w:p>
    <w:p w14:paraId="046824E9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DFBB51" w14:textId="1FC03AA7" w:rsidR="00AA580B" w:rsidRPr="00764CBB" w:rsidRDefault="00394F03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4F03">
        <w:rPr>
          <w:rFonts w:ascii="Times New Roman" w:hAnsi="Times New Roman" w:cs="Times New Roman"/>
          <w:b/>
          <w:bCs/>
          <w:sz w:val="28"/>
          <w:szCs w:val="28"/>
        </w:rPr>
        <w:t>1.3.2 Состояние здоровья батареи</w:t>
      </w:r>
    </w:p>
    <w:p w14:paraId="37E204D8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501F7" w14:textId="01451356" w:rsidR="00394F03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0F5501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0F5501">
        <w:rPr>
          <w:rFonts w:ascii="Times New Roman" w:hAnsi="Times New Roman" w:cs="Times New Roman"/>
          <w:sz w:val="28"/>
          <w:szCs w:val="28"/>
        </w:rPr>
        <w:t xml:space="preserve"> предназначен для количественного описания накопленной деградации аккумуляторной системы. В классической постановке он определяется по ёмкости:</w:t>
      </w:r>
    </w:p>
    <w:p w14:paraId="68FB2489" w14:textId="7777777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C67851" w14:textId="6B05392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3F3E6903">
          <v:shape id="_x0000_i1043" type="#_x0000_t75" style="width:96.45pt;height:33.95pt" o:ole="">
            <v:imagedata r:id="rId50" o:title=""/>
          </v:shape>
          <o:OLEObject Type="Embed" ProgID="Equation.DSMT4" ShapeID="_x0000_i1043" DrawAspect="Content" ObjectID="_1835778482" r:id="rId51"/>
        </w:object>
      </w:r>
    </w:p>
    <w:p w14:paraId="277BE207" w14:textId="26A6C25B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21498A2" w14:textId="082B6E56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act</w:t>
      </w:r>
      <w:proofErr w:type="spellEnd"/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текущая доступная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ёскость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4E4626A6" w14:textId="1CB6D09D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F5501">
        <w:rPr>
          <w:rFonts w:ascii="Times New Roman" w:hAnsi="Times New Roman" w:cs="Times New Roman"/>
          <w:sz w:val="28"/>
          <w:szCs w:val="28"/>
        </w:rPr>
        <w:t xml:space="preserve"> – начальная ёмкость новой батареи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3C19C" w14:textId="243D9539" w:rsidR="000F5501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Однако такая трактовка охватывает лишь один аспект старения — потерю способности накапливать заряд.</w:t>
      </w:r>
    </w:p>
    <w:p w14:paraId="7116D5B0" w14:textId="1AA14A9A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С практической точки зрения столь же важным является рост внутреннего сопротивления, особенно сопротивления переноса заряда и общего импеданса, поскольку именно они ограничивают мощность, усиливают тепловыделение и ухудшают работу батареи в режиме разгона и рекуперации. Поэтому в расширенной инженерной постановке следует использовать также импедансную интерпретацию состояния здоровья:</w:t>
      </w:r>
    </w:p>
    <w:p w14:paraId="472FAEF6" w14:textId="77777777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C8FE2E" w14:textId="41408E29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30"/>
          <w:sz w:val="28"/>
          <w:szCs w:val="28"/>
        </w:rPr>
        <w:object w:dxaOrig="1960" w:dyaOrig="680" w14:anchorId="30A09688">
          <v:shape id="_x0000_i1044" type="#_x0000_t75" style="width:97.8pt;height:33.95pt" o:ole="">
            <v:imagedata r:id="rId52" o:title=""/>
          </v:shape>
          <o:OLEObject Type="Embed" ProgID="Equation.DSMT4" ShapeID="_x0000_i1044" DrawAspect="Content" ObjectID="_1835778483" r:id="rId53"/>
        </w:object>
      </w:r>
    </w:p>
    <w:p w14:paraId="35755446" w14:textId="2F9D64B8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3D2">
        <w:rPr>
          <w:rFonts w:ascii="Times New Roman" w:hAnsi="Times New Roman" w:cs="Times New Roman"/>
          <w:sz w:val="28"/>
          <w:szCs w:val="28"/>
        </w:rPr>
        <w:t>или, в более специализированной форме,</w:t>
      </w:r>
    </w:p>
    <w:p w14:paraId="1734F9E6" w14:textId="51810987" w:rsid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12"/>
          <w:sz w:val="28"/>
          <w:szCs w:val="28"/>
        </w:rPr>
        <w:object w:dxaOrig="1560" w:dyaOrig="360" w14:anchorId="47C6B96B">
          <v:shape id="_x0000_i1045" type="#_x0000_t75" style="width:77.45pt;height:17.65pt" o:ole="">
            <v:imagedata r:id="rId54" o:title=""/>
          </v:shape>
          <o:OLEObject Type="Embed" ProgID="Equation.DSMT4" ShapeID="_x0000_i1045" DrawAspect="Content" ObjectID="_1835778484" r:id="rId55"/>
        </w:object>
      </w:r>
    </w:p>
    <w:p w14:paraId="2C248A42" w14:textId="4FF39D83" w:rsidR="008353D2" w:rsidRDefault="008353D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353D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химически специфическая функция перехода от сопротивления переноса заряда к показателю состояния.</w:t>
      </w:r>
    </w:p>
    <w:p w14:paraId="6762AF80" w14:textId="76EC1B5C" w:rsidR="008353D2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sz w:val="28"/>
          <w:szCs w:val="28"/>
        </w:rPr>
        <w:t>Такой подход имеет прямое физическое основание. Если</w:t>
      </w:r>
    </w:p>
    <w:p w14:paraId="0C1C48B0" w14:textId="77777777" w:rsidR="00A1102D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C4D46F" w14:textId="190AADE7" w:rsidR="00A1102D" w:rsidRPr="00A1102D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02D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3FADD88C">
          <v:shape id="_x0000_i1046" type="#_x0000_t75" style="width:47.55pt;height:33.95pt" o:ole="">
            <v:imagedata r:id="rId56" o:title=""/>
          </v:shape>
          <o:OLEObject Type="Embed" ProgID="Equation.DSMT4" ShapeID="_x0000_i1046" DrawAspect="Content" ObjectID="_1835778485" r:id="rId57"/>
        </w:object>
      </w:r>
    </w:p>
    <w:p w14:paraId="1983EBCA" w14:textId="5A574E4E" w:rsidR="00A1102D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то рост </w:t>
      </w:r>
      <w:proofErr w:type="spellStart"/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90659">
        <w:rPr>
          <w:rFonts w:ascii="Times New Roman" w:hAnsi="Times New Roman" w:cs="Times New Roman"/>
          <w:sz w:val="28"/>
          <w:szCs w:val="28"/>
        </w:rPr>
        <w:t xml:space="preserve"> означает уменьшение обменного тока </w:t>
      </w:r>
      <w:proofErr w:type="spellStart"/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а следовательно, ухудшение кинетики электрохимической реакции, уменьшение активной поверхности и усиление межфазных ограничений. Следовательно,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выраженный через </w:t>
      </w:r>
      <w:proofErr w:type="spellStart"/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90659">
        <w:rPr>
          <w:rFonts w:ascii="Times New Roman" w:hAnsi="Times New Roman" w:cs="Times New Roman"/>
          <w:sz w:val="28"/>
          <w:szCs w:val="28"/>
        </w:rPr>
        <w:t>, оказывается чувствителен не только к уже накопленной потере ёмкости, но и к ранним стадиям деградации, когда мощностные характеристики начинают ухудшаться раньше, чем ёмкость достигает предельного уровня.</w:t>
      </w:r>
    </w:p>
    <w:p w14:paraId="2F2592CB" w14:textId="167079D5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В диссертационной логике это обстоятельство особенно важно. Если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определяется только через ёмкость, то диагностика становится «запаздывающей»: значительные внутренние нарушения могут ещё не привести к критическому </w:t>
      </w:r>
      <w:proofErr w:type="spellStart"/>
      <w:r w:rsidRPr="00390659">
        <w:rPr>
          <w:rFonts w:ascii="Times New Roman" w:hAnsi="Times New Roman" w:cs="Times New Roman"/>
          <w:sz w:val="28"/>
          <w:szCs w:val="28"/>
          <w:highlight w:val="yellow"/>
        </w:rPr>
        <w:t>capacity</w:t>
      </w:r>
      <w:proofErr w:type="spellEnd"/>
      <w:r w:rsidRPr="0039065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390659">
        <w:rPr>
          <w:rFonts w:ascii="Times New Roman" w:hAnsi="Times New Roman" w:cs="Times New Roman"/>
          <w:sz w:val="28"/>
          <w:szCs w:val="28"/>
          <w:highlight w:val="yellow"/>
        </w:rPr>
        <w:t>fade</w:t>
      </w:r>
      <w:proofErr w:type="spellEnd"/>
      <w:r w:rsidRPr="00390659">
        <w:rPr>
          <w:rFonts w:ascii="Times New Roman" w:hAnsi="Times New Roman" w:cs="Times New Roman"/>
          <w:sz w:val="28"/>
          <w:szCs w:val="28"/>
        </w:rPr>
        <w:t xml:space="preserve">. Если же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учитывает и импедансные параметры, то диагностическая система становится значительно более чувствительной к ранней деградации.</w:t>
      </w:r>
    </w:p>
    <w:p w14:paraId="0C29DFD1" w14:textId="77777777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F6B920" w14:textId="0F7A23C0" w:rsidR="00390659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1.3 – Основные формы представления состояния здоровья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90"/>
        <w:gridCol w:w="2681"/>
        <w:gridCol w:w="2189"/>
        <w:gridCol w:w="2367"/>
      </w:tblGrid>
      <w:tr w:rsidR="00B509A7" w14:paraId="7DCA3289" w14:textId="77777777" w:rsidTr="00B509A7">
        <w:tc>
          <w:tcPr>
            <w:tcW w:w="2406" w:type="dxa"/>
          </w:tcPr>
          <w:p w14:paraId="7DEED8CD" w14:textId="40CFC229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Форма показателя</w:t>
            </w:r>
          </w:p>
        </w:tc>
        <w:tc>
          <w:tcPr>
            <w:tcW w:w="2407" w:type="dxa"/>
          </w:tcPr>
          <w:p w14:paraId="4F0034F2" w14:textId="08E07D7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Формула</w:t>
            </w:r>
          </w:p>
        </w:tc>
        <w:tc>
          <w:tcPr>
            <w:tcW w:w="2407" w:type="dxa"/>
          </w:tcPr>
          <w:p w14:paraId="55FC0726" w14:textId="2EBCB42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40AB1179" w14:textId="535C6E13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B509A7" w:rsidRPr="00B509A7" w14:paraId="120F83B4" w14:textId="77777777" w:rsidTr="00B509A7">
        <w:tc>
          <w:tcPr>
            <w:tcW w:w="2406" w:type="dxa"/>
          </w:tcPr>
          <w:p w14:paraId="51019AF8" w14:textId="13A854D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Ёмкостная</w:t>
            </w:r>
          </w:p>
        </w:tc>
        <w:tc>
          <w:tcPr>
            <w:tcW w:w="2407" w:type="dxa"/>
          </w:tcPr>
          <w:p w14:paraId="45A2F6D5" w14:textId="203252F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640" w:dyaOrig="360" w14:anchorId="1EE898F0">
                <v:shape id="_x0000_i1047" type="#_x0000_t75" style="width:81.5pt;height:17.65pt" o:ole="">
                  <v:imagedata r:id="rId58" o:title=""/>
                </v:shape>
                <o:OLEObject Type="Embed" ProgID="Equation.DSMT4" ShapeID="_x0000_i1047" DrawAspect="Content" ObjectID="_1835778486" r:id="rId59"/>
              </w:object>
            </w:r>
          </w:p>
        </w:tc>
        <w:tc>
          <w:tcPr>
            <w:tcW w:w="2407" w:type="dxa"/>
          </w:tcPr>
          <w:p w14:paraId="17E421F2" w14:textId="0AF1A876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 xml:space="preserve">Потеря способности </w:t>
            </w: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накапливать заряд</w:t>
            </w:r>
          </w:p>
        </w:tc>
        <w:tc>
          <w:tcPr>
            <w:tcW w:w="2407" w:type="dxa"/>
          </w:tcPr>
          <w:p w14:paraId="25F70F37" w14:textId="4A87C8D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Слабая чувствительность </w:t>
            </w: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к раннему </w:t>
            </w:r>
            <w:proofErr w:type="spellStart"/>
            <w:r w:rsidRPr="00B509A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power</w:t>
            </w:r>
            <w:proofErr w:type="spellEnd"/>
            <w:r w:rsidRPr="00B509A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 xml:space="preserve"> </w:t>
            </w:r>
            <w:proofErr w:type="spellStart"/>
            <w:r w:rsidRPr="00B509A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fade</w:t>
            </w:r>
            <w:proofErr w:type="spellEnd"/>
          </w:p>
        </w:tc>
      </w:tr>
      <w:tr w:rsidR="00B509A7" w:rsidRPr="00B509A7" w14:paraId="2B07B117" w14:textId="77777777" w:rsidTr="00B509A7">
        <w:tc>
          <w:tcPr>
            <w:tcW w:w="2406" w:type="dxa"/>
          </w:tcPr>
          <w:p w14:paraId="783C583E" w14:textId="18A0203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Резистивная</w:t>
            </w:r>
          </w:p>
        </w:tc>
        <w:tc>
          <w:tcPr>
            <w:tcW w:w="2407" w:type="dxa"/>
          </w:tcPr>
          <w:p w14:paraId="3E124A25" w14:textId="681E41A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20" w:dyaOrig="360" w14:anchorId="19708454">
                <v:shape id="_x0000_i1048" type="#_x0000_t75" style="width:80.85pt;height:17.65pt" o:ole="">
                  <v:imagedata r:id="rId60" o:title=""/>
                </v:shape>
                <o:OLEObject Type="Embed" ProgID="Equation.DSMT4" ShapeID="_x0000_i1048" DrawAspect="Content" ObjectID="_1835778487" r:id="rId61"/>
              </w:object>
            </w:r>
          </w:p>
        </w:tc>
        <w:tc>
          <w:tcPr>
            <w:tcW w:w="2407" w:type="dxa"/>
          </w:tcPr>
          <w:p w14:paraId="5EB33E96" w14:textId="1918E60B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Рост внутренних потерь и снижение мощности</w:t>
            </w:r>
          </w:p>
        </w:tc>
        <w:tc>
          <w:tcPr>
            <w:tcW w:w="2407" w:type="dxa"/>
          </w:tcPr>
          <w:p w14:paraId="1D74F5D5" w14:textId="2C4BF578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Интегральная трактовка, без разделения механизмов</w:t>
            </w:r>
          </w:p>
        </w:tc>
      </w:tr>
      <w:tr w:rsidR="00B509A7" w:rsidRPr="00B509A7" w14:paraId="1A89E33C" w14:textId="77777777" w:rsidTr="00B509A7">
        <w:tc>
          <w:tcPr>
            <w:tcW w:w="2406" w:type="dxa"/>
          </w:tcPr>
          <w:p w14:paraId="6121887C" w14:textId="10C4295F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Импедансная</w:t>
            </w:r>
          </w:p>
        </w:tc>
        <w:tc>
          <w:tcPr>
            <w:tcW w:w="2407" w:type="dxa"/>
          </w:tcPr>
          <w:p w14:paraId="5E7DE1AD" w14:textId="54F3EC6C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60" w:dyaOrig="440" w14:anchorId="65B0F920">
                <v:shape id="_x0000_i1049" type="#_x0000_t75" style="width:122.95pt;height:21.75pt" o:ole="">
                  <v:imagedata r:id="rId62" o:title=""/>
                </v:shape>
                <o:OLEObject Type="Embed" ProgID="Equation.DSMT4" ShapeID="_x0000_i1049" DrawAspect="Content" ObjectID="_1835778488" r:id="rId63"/>
              </w:object>
            </w:r>
          </w:p>
        </w:tc>
        <w:tc>
          <w:tcPr>
            <w:tcW w:w="2407" w:type="dxa"/>
          </w:tcPr>
          <w:p w14:paraId="1E478184" w14:textId="131D1D5D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Отражает межфазную и диффузионную деградацию</w:t>
            </w:r>
          </w:p>
        </w:tc>
        <w:tc>
          <w:tcPr>
            <w:tcW w:w="2407" w:type="dxa"/>
          </w:tcPr>
          <w:p w14:paraId="38406C5C" w14:textId="6AC6CE82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Требует параметрической идентификации спектра</w:t>
            </w:r>
          </w:p>
        </w:tc>
      </w:tr>
      <w:tr w:rsidR="00B509A7" w:rsidRPr="00B509A7" w14:paraId="6EAAB412" w14:textId="77777777" w:rsidTr="00B509A7">
        <w:tc>
          <w:tcPr>
            <w:tcW w:w="2406" w:type="dxa"/>
          </w:tcPr>
          <w:p w14:paraId="36DF3829" w14:textId="20DE4B8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Комбинированная</w:t>
            </w:r>
          </w:p>
        </w:tc>
        <w:tc>
          <w:tcPr>
            <w:tcW w:w="2407" w:type="dxa"/>
          </w:tcPr>
          <w:p w14:paraId="2C7A3BB0" w14:textId="170BEC92" w:rsidR="00B509A7" w:rsidRPr="00B509A7" w:rsidRDefault="007C256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C2566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20" w:dyaOrig="440" w14:anchorId="5A5FABEE">
                <v:shape id="_x0000_i1050" type="#_x0000_t75" style="width:120.9pt;height:21.75pt" o:ole="">
                  <v:imagedata r:id="rId64" o:title=""/>
                </v:shape>
                <o:OLEObject Type="Embed" ProgID="Equation.DSMT4" ShapeID="_x0000_i1050" DrawAspect="Content" ObjectID="_1835778489" r:id="rId65"/>
              </w:object>
            </w:r>
          </w:p>
        </w:tc>
        <w:tc>
          <w:tcPr>
            <w:tcW w:w="2407" w:type="dxa"/>
          </w:tcPr>
          <w:p w14:paraId="68508AA7" w14:textId="5DF57945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Совместно учитывает ёмкость и внутреннюю деградацию</w:t>
            </w:r>
          </w:p>
        </w:tc>
        <w:tc>
          <w:tcPr>
            <w:tcW w:w="2407" w:type="dxa"/>
          </w:tcPr>
          <w:p w14:paraId="74E41FF3" w14:textId="1BD53FE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Более сложна для реализации, но наиболее содержательна</w:t>
            </w:r>
          </w:p>
        </w:tc>
      </w:tr>
    </w:tbl>
    <w:p w14:paraId="3A5C776C" w14:textId="77777777" w:rsidR="00371DD5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39726" w14:textId="5D3828EB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6228">
        <w:rPr>
          <w:rFonts w:ascii="Times New Roman" w:hAnsi="Times New Roman" w:cs="Times New Roman"/>
          <w:sz w:val="28"/>
          <w:szCs w:val="28"/>
        </w:rPr>
        <w:t xml:space="preserve">Из таблицы следует, что наиболее перспективной для целей диссертации является именно комбинированная и импедансная интерпретация </w:t>
      </w:r>
      <w:r w:rsidRPr="00AC622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C6228">
        <w:rPr>
          <w:rFonts w:ascii="Times New Roman" w:hAnsi="Times New Roman" w:cs="Times New Roman"/>
          <w:sz w:val="28"/>
          <w:szCs w:val="28"/>
        </w:rPr>
        <w:t>, так как она обеспечивает более ранний и физически более содержательный контроль состояния батареи.</w:t>
      </w:r>
    </w:p>
    <w:p w14:paraId="2187668D" w14:textId="2E69D79E" w:rsidR="00AC6228" w:rsidRPr="00764CBB" w:rsidRDefault="00C4417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4176">
        <w:rPr>
          <w:rFonts w:ascii="Times New Roman" w:hAnsi="Times New Roman" w:cs="Times New Roman"/>
          <w:sz w:val="28"/>
          <w:szCs w:val="28"/>
        </w:rPr>
        <w:t xml:space="preserve">В опытной серии ресурсных испытаний была построена зависимость состояния здоровья батарей 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различных химических систем от сопротивления переноса заряда. Это позволило проверить гипотезу о том, что </w:t>
      </w:r>
      <w:proofErr w:type="spellStart"/>
      <w:r w:rsidR="00352611" w:rsidRPr="0035261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может использоваться как универсальный, но </w:t>
      </w:r>
      <w:r w:rsidR="00352611" w:rsidRPr="00414374">
        <w:rPr>
          <w:rFonts w:ascii="Times New Roman" w:hAnsi="Times New Roman" w:cs="Times New Roman"/>
          <w:sz w:val="28"/>
          <w:szCs w:val="28"/>
          <w:highlight w:val="yellow"/>
        </w:rPr>
        <w:t>химически различно калибруемый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индикатор деградации</w:t>
      </w:r>
      <w:r w:rsidR="00352611">
        <w:rPr>
          <w:rFonts w:ascii="Times New Roman" w:hAnsi="Times New Roman" w:cs="Times New Roman"/>
          <w:sz w:val="28"/>
          <w:szCs w:val="28"/>
        </w:rPr>
        <w:t>.</w:t>
      </w:r>
    </w:p>
    <w:p w14:paraId="637D710C" w14:textId="77777777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89D65" w14:textId="459AFEAA" w:rsidR="00414374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1FDB78A" wp14:editId="438C9F8A">
            <wp:extent cx="6119495" cy="3520440"/>
            <wp:effectExtent l="0" t="0" r="0" b="3810"/>
            <wp:docPr id="9204559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A88E1" w14:textId="49D68F9A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9F1">
        <w:rPr>
          <w:rFonts w:ascii="Times New Roman" w:hAnsi="Times New Roman" w:cs="Times New Roman"/>
          <w:sz w:val="28"/>
          <w:szCs w:val="28"/>
        </w:rPr>
        <w:t>Рисунок 1.9 — Связь состояния здоровья батареи и сопротивления переноса заряда</w:t>
      </w:r>
    </w:p>
    <w:p w14:paraId="3F949D22" w14:textId="77777777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53CA81" w14:textId="555349E6" w:rsidR="00F109F1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На рисунке представлены зависимости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C253A">
        <w:rPr>
          <w:rFonts w:ascii="Times New Roman" w:hAnsi="Times New Roman" w:cs="Times New Roman"/>
          <w:sz w:val="28"/>
          <w:szCs w:val="28"/>
        </w:rPr>
        <w:t>NMC, LFP, LTO и Na-</w:t>
      </w:r>
      <w:proofErr w:type="spellStart"/>
      <w:r w:rsidRPr="00FC253A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FC253A">
        <w:rPr>
          <w:rFonts w:ascii="Times New Roman" w:hAnsi="Times New Roman" w:cs="Times New Roman"/>
          <w:sz w:val="28"/>
          <w:szCs w:val="28"/>
        </w:rPr>
        <w:t xml:space="preserve"> систем.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всех химий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наблюдается монотонное снижение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ростом 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однако характер наклона кривых различен.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Это означает, что сам показатель 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FC253A">
        <w:rPr>
          <w:rFonts w:ascii="Times New Roman" w:hAnsi="Times New Roman" w:cs="Times New Roman"/>
          <w:sz w:val="28"/>
          <w:szCs w:val="28"/>
        </w:rPr>
        <w:t xml:space="preserve"> действительно универсален с точки зрения физического смысла, но его количественная интерпретация должна зависеть от химической системы.</w:t>
      </w:r>
    </w:p>
    <w:p w14:paraId="19849A56" w14:textId="6E4299A9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Для NMC и Na-</w:t>
      </w:r>
      <w:proofErr w:type="spellStart"/>
      <w:r w:rsidRPr="00FC253A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FC253A">
        <w:rPr>
          <w:rFonts w:ascii="Times New Roman" w:hAnsi="Times New Roman" w:cs="Times New Roman"/>
          <w:sz w:val="28"/>
          <w:szCs w:val="28"/>
        </w:rPr>
        <w:t xml:space="preserve"> характерен более резкий спад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росте 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что соответствует высокой чувствительности этих систем к межфазным и поляризационным 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LFP зависимость более пологая, что согласуется с большей структурной стабильностью.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LTO наблюдается наименьшая крутизна, что отражает высокий ресурс и сравнительно медленное накопление деградации.</w:t>
      </w:r>
    </w:p>
    <w:p w14:paraId="5B8B46A1" w14:textId="4A457561" w:rsidR="00FC253A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установлении количественной связи между импедансным параметром и состоянием здоровья батареи. Это создаёт основу для последующего перехода к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spellStart"/>
      <w:proofErr w:type="gram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proofErr w:type="spellEnd"/>
      <w:proofErr w:type="gramEnd"/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54D08" w:rsidRPr="00F54D08">
        <w:rPr>
          <w:rFonts w:ascii="Times New Roman" w:hAnsi="Times New Roman" w:cs="Times New Roman"/>
          <w:sz w:val="28"/>
          <w:szCs w:val="28"/>
        </w:rPr>
        <w:lastRenderedPageBreak/>
        <w:t>Практическая польза рисунка состоит в том, что он позволяет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sz w:val="28"/>
          <w:szCs w:val="28"/>
        </w:rPr>
        <w:t>использовать измерение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54D08" w:rsidRPr="00F54D0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F54D08" w:rsidRPr="00F54D08">
        <w:rPr>
          <w:rFonts w:ascii="Times New Roman" w:hAnsi="Times New Roman" w:cs="Times New Roman"/>
          <w:sz w:val="28"/>
          <w:szCs w:val="28"/>
        </w:rPr>
        <w:t xml:space="preserve"> как оперативную процедуру оценки состояния батареи без выполнения полного ресурсного разряда.</w:t>
      </w:r>
    </w:p>
    <w:p w14:paraId="64C374C4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1A1C75" w14:textId="193F13F1" w:rsidR="00F54D08" w:rsidRPr="00764CBB" w:rsidRDefault="00126864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26864">
        <w:rPr>
          <w:rFonts w:ascii="Times New Roman" w:hAnsi="Times New Roman" w:cs="Times New Roman"/>
          <w:b/>
          <w:bCs/>
          <w:sz w:val="28"/>
          <w:szCs w:val="28"/>
        </w:rPr>
        <w:t>1.3.3 Состояние мощности батареи</w:t>
      </w:r>
    </w:p>
    <w:p w14:paraId="65575D96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CCFCAE" w14:textId="0574B436" w:rsidR="00126864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DBC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04DBC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04DBC">
        <w:rPr>
          <w:rFonts w:ascii="Times New Roman" w:hAnsi="Times New Roman" w:cs="Times New Roman"/>
          <w:sz w:val="28"/>
          <w:szCs w:val="28"/>
        </w:rPr>
        <w:t xml:space="preserve"> отражает способность батареи обеспечить требуемую мощность в текущих условиях эксплуатации. С физической точки зрения этот показатель определяется не только запасом энергии, но и внутренним сопротивлением, поляризацией, температурой и допустимым диапазоном напряжения. В наиболее простом электротехническом приближении максимальная мощность на нагрузке определяется теоремой согласования:</w:t>
      </w:r>
    </w:p>
    <w:p w14:paraId="4223C3CF" w14:textId="77777777" w:rsidR="00604DBC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7F6B2A" w14:textId="51BADA93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3D88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180" w:dyaOrig="720" w14:anchorId="446C191F">
          <v:shape id="_x0000_i1051" type="#_x0000_t75" style="width:59.1pt;height:36pt" o:ole="">
            <v:imagedata r:id="rId67" o:title=""/>
          </v:shape>
          <o:OLEObject Type="Embed" ProgID="Equation.DSMT4" ShapeID="_x0000_i1051" DrawAspect="Content" ObjectID="_1835778490" r:id="rId68"/>
        </w:object>
      </w:r>
    </w:p>
    <w:p w14:paraId="1DBD6007" w14:textId="73BABD40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08F60A23" w14:textId="15F5B29B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напряжение источника,</w:t>
      </w:r>
    </w:p>
    <w:p w14:paraId="407040E3" w14:textId="3355D9FE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3D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proofErr w:type="spellEnd"/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внутреннее сопротивление батареи.</w:t>
      </w:r>
    </w:p>
    <w:p w14:paraId="1DB2A935" w14:textId="70BA45C1" w:rsidR="00683D88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Это выражение выводится из классической задачи о передаче мощности от источника с внутренним сопротивлением к внешней нагрузке и используется здесь как первое приближение для связи между импедансным состоянием батареи и её мощностным потенциалом.</w:t>
      </w:r>
    </w:p>
    <w:p w14:paraId="2B826223" w14:textId="66FF88AE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Однако для электрохимической системы этого недостаточно. В реальной батарее ограничение мощности связано также с допустимой глубиной поляризации, тепловыми лимитами и скоростью массопереноса. Поэтому в более содержательной форме</w:t>
      </w:r>
    </w:p>
    <w:p w14:paraId="48E48771" w14:textId="77777777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45126F" w14:textId="4567F2EC" w:rsidR="004541DF" w:rsidRP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7450">
        <w:rPr>
          <w:rFonts w:ascii="Times New Roman" w:hAnsi="Times New Roman" w:cs="Times New Roman"/>
          <w:position w:val="-16"/>
          <w:sz w:val="28"/>
          <w:szCs w:val="28"/>
        </w:rPr>
        <w:object w:dxaOrig="3820" w:dyaOrig="440" w14:anchorId="7AE252E7">
          <v:shape id="_x0000_i1052" type="#_x0000_t75" style="width:190.85pt;height:21.75pt" o:ole="">
            <v:imagedata r:id="rId69" o:title=""/>
          </v:shape>
          <o:OLEObject Type="Embed" ProgID="Equation.DSMT4" ShapeID="_x0000_i1052" DrawAspect="Content" ObjectID="_1835778491" r:id="rId70"/>
        </w:object>
      </w:r>
    </w:p>
    <w:p w14:paraId="6EDCF0D2" w14:textId="711D18CB" w:rsidR="004541DF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1D7450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1D745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lim</w:t>
      </w:r>
      <w:proofErr w:type="spellEnd"/>
      <w:r w:rsidRPr="001D745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предельно допустимое </w:t>
      </w:r>
      <w:r w:rsidRPr="001D7450">
        <w:rPr>
          <w:rFonts w:ascii="Times New Roman" w:hAnsi="Times New Roman" w:cs="Times New Roman"/>
          <w:sz w:val="28"/>
          <w:szCs w:val="28"/>
          <w:highlight w:val="yellow"/>
        </w:rPr>
        <w:t>напряжение границы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54FF71" w14:textId="25A943C8" w:rsid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450">
        <w:rPr>
          <w:rFonts w:ascii="Times New Roman" w:hAnsi="Times New Roman" w:cs="Times New Roman"/>
          <w:sz w:val="28"/>
          <w:szCs w:val="28"/>
        </w:rPr>
        <w:t>Эта запись отражает тот факт, что мощностное состояние батареи является интегральным следствием как текущего заряда, так и внутренней деградации.</w:t>
      </w:r>
    </w:p>
    <w:p w14:paraId="66BAFCAA" w14:textId="4CDAF410" w:rsidR="001D7450" w:rsidRDefault="006B48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4872">
        <w:rPr>
          <w:rFonts w:ascii="Times New Roman" w:hAnsi="Times New Roman" w:cs="Times New Roman"/>
          <w:sz w:val="28"/>
          <w:szCs w:val="28"/>
        </w:rPr>
        <w:t xml:space="preserve">Для тягового электротранспорта параметр </w:t>
      </w:r>
      <w:r w:rsidRPr="006B4872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особенно важен, поскольку именно он ограничивает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способность транспортного средства к ускорению,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поддержанию высокой тяговой мощности и эффективной рекуперации.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В ряде случаев батарея может сохранять приемлемый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из-за роста </w:t>
      </w:r>
      <w:proofErr w:type="spellStart"/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B487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общего импеданса.</w:t>
      </w:r>
      <w:r w:rsidR="00FC19D7">
        <w:rPr>
          <w:rFonts w:ascii="Times New Roman" w:hAnsi="Times New Roman" w:cs="Times New Roman"/>
          <w:sz w:val="28"/>
          <w:szCs w:val="28"/>
        </w:rPr>
        <w:t xml:space="preserve"> </w:t>
      </w:r>
      <w:r w:rsidR="00FC19D7" w:rsidRPr="00FC19D7">
        <w:rPr>
          <w:rFonts w:ascii="Times New Roman" w:hAnsi="Times New Roman" w:cs="Times New Roman"/>
          <w:sz w:val="28"/>
          <w:szCs w:val="28"/>
        </w:rPr>
        <w:t>Это является ещё одним аргументом в пользу импедансной диагностики как основы прогноза ресурса.</w:t>
      </w:r>
    </w:p>
    <w:p w14:paraId="4E0404B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059A9" w14:textId="0B79A86F" w:rsidR="00FC19D7" w:rsidRP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9D7">
        <w:rPr>
          <w:rFonts w:ascii="Times New Roman" w:hAnsi="Times New Roman" w:cs="Times New Roman"/>
          <w:b/>
          <w:bCs/>
          <w:sz w:val="28"/>
          <w:szCs w:val="28"/>
        </w:rPr>
        <w:t>1.3.4 Остаточный ресурс батареи</w:t>
      </w:r>
    </w:p>
    <w:p w14:paraId="4A8AF29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E728AA" w14:textId="12A6F67D" w:rsidR="00FC19D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3C57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D7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593C57">
        <w:rPr>
          <w:rFonts w:ascii="Times New Roman" w:hAnsi="Times New Roman" w:cs="Times New Roman"/>
          <w:sz w:val="28"/>
          <w:szCs w:val="28"/>
        </w:rPr>
        <w:t xml:space="preserve"> представляет собой оценку времени или числа циклов до достижения предельного состояния аккумуляторной системы. </w:t>
      </w:r>
      <w:r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число циклов, </w:t>
      </w:r>
      <w:r w:rsidRPr="00593C57">
        <w:rPr>
          <w:rFonts w:ascii="Times New Roman" w:hAnsi="Times New Roman" w:cs="Times New Roman"/>
          <w:sz w:val="28"/>
          <w:szCs w:val="28"/>
        </w:rPr>
        <w:t>соответствующее достижению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граничного состояния,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proofErr w:type="spellEnd"/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текущее число циклов, то в простейшем виде:</w:t>
      </w:r>
    </w:p>
    <w:p w14:paraId="12FEEE00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579A87" w14:textId="3D369E43" w:rsidR="00593C57" w:rsidRP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0901">
        <w:rPr>
          <w:rFonts w:ascii="Times New Roman" w:hAnsi="Times New Roman" w:cs="Times New Roman"/>
          <w:position w:val="-12"/>
          <w:sz w:val="28"/>
          <w:szCs w:val="28"/>
        </w:rPr>
        <w:object w:dxaOrig="1780" w:dyaOrig="360" w14:anchorId="5EF1CD4E">
          <v:shape id="_x0000_i1053" type="#_x0000_t75" style="width:89pt;height:17.65pt" o:ole="">
            <v:imagedata r:id="rId71" o:title=""/>
          </v:shape>
          <o:OLEObject Type="Embed" ProgID="Equation.DSMT4" ShapeID="_x0000_i1053" DrawAspect="Content" ObjectID="_1835778492" r:id="rId72"/>
        </w:object>
      </w:r>
    </w:p>
    <w:p w14:paraId="6524B429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CFC0D9" w14:textId="3BC85704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01">
        <w:rPr>
          <w:rFonts w:ascii="Times New Roman" w:hAnsi="Times New Roman" w:cs="Times New Roman"/>
          <w:sz w:val="28"/>
          <w:szCs w:val="28"/>
        </w:rPr>
        <w:t xml:space="preserve">Однако практическая сложность состоит в том, что </w:t>
      </w:r>
      <w:proofErr w:type="spellStart"/>
      <w:r w:rsidRPr="007009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700901">
        <w:rPr>
          <w:rFonts w:ascii="Times New Roman" w:hAnsi="Times New Roman" w:cs="Times New Roman"/>
          <w:sz w:val="28"/>
          <w:szCs w:val="28"/>
        </w:rPr>
        <w:t xml:space="preserve"> заранее неизвестно. Его необходимо прогнозировать по текущей </w:t>
      </w:r>
      <w:proofErr w:type="spellStart"/>
      <w:r w:rsidRPr="00700901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700901">
        <w:rPr>
          <w:rFonts w:ascii="Times New Roman" w:hAnsi="Times New Roman" w:cs="Times New Roman"/>
          <w:sz w:val="28"/>
          <w:szCs w:val="28"/>
        </w:rPr>
        <w:t xml:space="preserve"> траектории. Если состояние батареи описывается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Pr="007009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00901">
        <w:rPr>
          <w:rFonts w:ascii="Times New Roman" w:hAnsi="Times New Roman" w:cs="Times New Roman"/>
          <w:sz w:val="28"/>
          <w:szCs w:val="28"/>
        </w:rPr>
        <w:t xml:space="preserve"> то предельное состояние обычно связывается с условием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1856E8C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764E24" w14:textId="482B6D10" w:rsidR="00700901" w:rsidRP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</w:rPr>
        <w:object w:dxaOrig="2079" w:dyaOrig="360" w14:anchorId="38F56FC8">
          <v:shape id="_x0000_i1054" type="#_x0000_t75" style="width:103.9pt;height:17.65pt" o:ole="">
            <v:imagedata r:id="rId73" o:title=""/>
          </v:shape>
          <o:OLEObject Type="Embed" ProgID="Equation.DSMT4" ShapeID="_x0000_i1054" DrawAspect="Content" ObjectID="_1835778493" r:id="rId74"/>
        </w:object>
      </w:r>
    </w:p>
    <w:p w14:paraId="6ED07B40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5E7087" w14:textId="59B9E292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Наиболее распространённым инженерным критерием является </w:t>
      </w:r>
      <w:r w:rsidRPr="0072389C">
        <w:rPr>
          <w:rFonts w:ascii="Times New Roman" w:hAnsi="Times New Roman" w:cs="Times New Roman"/>
          <w:sz w:val="28"/>
          <w:szCs w:val="28"/>
          <w:highlight w:val="yellow"/>
        </w:rPr>
        <w:t>уровень</w:t>
      </w:r>
    </w:p>
    <w:p w14:paraId="62334DF4" w14:textId="77777777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D52D02" w14:textId="114FB782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460" w:dyaOrig="360" w14:anchorId="3AA6288C">
          <v:shape id="_x0000_i1055" type="#_x0000_t75" style="width:73.35pt;height:17.65pt" o:ole="">
            <v:imagedata r:id="rId75" o:title=""/>
          </v:shape>
          <o:OLEObject Type="Embed" ProgID="Equation.DSMT4" ShapeID="_x0000_i1055" DrawAspect="Content" ObjectID="_1835778494" r:id="rId76"/>
        </w:object>
      </w:r>
    </w:p>
    <w:p w14:paraId="786B5538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2A46E2" w14:textId="5CDA23E3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Этот порог принят потому, что при дальнейшем снижении ёмкости и одновременном росте внутреннего сопротивления батарея обычно перестаёт удовлетворять требованиям по дальности </w:t>
      </w:r>
      <w:r w:rsidRPr="0072389C">
        <w:rPr>
          <w:rFonts w:ascii="Times New Roman" w:hAnsi="Times New Roman" w:cs="Times New Roman"/>
          <w:sz w:val="28"/>
          <w:szCs w:val="28"/>
          <w:highlight w:val="green"/>
        </w:rPr>
        <w:t>хода</w:t>
      </w:r>
      <w:r w:rsidRPr="0072389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>мощности и тепловой устойчивости.</w:t>
      </w:r>
    </w:p>
    <w:p w14:paraId="19831B1E" w14:textId="513B3C9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Если же в качестве базового </w:t>
      </w:r>
      <w:proofErr w:type="spellStart"/>
      <w:r w:rsidRPr="0072389C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72389C">
        <w:rPr>
          <w:rFonts w:ascii="Times New Roman" w:hAnsi="Times New Roman" w:cs="Times New Roman"/>
          <w:sz w:val="28"/>
          <w:szCs w:val="28"/>
        </w:rPr>
        <w:t xml:space="preserve"> параметра используется сопротивление переноса заряда, то возможна альтернативная постановка:</w:t>
      </w:r>
    </w:p>
    <w:p w14:paraId="553379B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08CC6F" w14:textId="22A788B1" w:rsidR="0072389C" w:rsidRPr="006F610E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610E">
        <w:rPr>
          <w:rFonts w:ascii="Times New Roman" w:hAnsi="Times New Roman" w:cs="Times New Roman"/>
          <w:position w:val="-30"/>
          <w:sz w:val="28"/>
          <w:szCs w:val="28"/>
        </w:rPr>
        <w:object w:dxaOrig="2060" w:dyaOrig="700" w14:anchorId="5BCDF34D">
          <v:shape id="_x0000_i1056" type="#_x0000_t75" style="width:103.25pt;height:35.3pt" o:ole="">
            <v:imagedata r:id="rId77" o:title=""/>
          </v:shape>
          <o:OLEObject Type="Embed" ProgID="Equation.DSMT4" ShapeID="_x0000_i1056" DrawAspect="Content" ObjectID="_1835778495" r:id="rId78"/>
        </w:object>
      </w:r>
    </w:p>
    <w:p w14:paraId="15C6EB2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F14B66" w14:textId="2EE9D835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10E">
        <w:rPr>
          <w:rFonts w:ascii="Times New Roman" w:hAnsi="Times New Roman" w:cs="Times New Roman"/>
          <w:sz w:val="28"/>
          <w:szCs w:val="28"/>
        </w:rPr>
        <w:t xml:space="preserve">которая справедлива при локально линейной аппроксимации роста </w:t>
      </w:r>
      <w:proofErr w:type="spellStart"/>
      <w:r w:rsidRPr="006F61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F61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F610E">
        <w:rPr>
          <w:rFonts w:ascii="Times New Roman" w:hAnsi="Times New Roman" w:cs="Times New Roman"/>
          <w:sz w:val="28"/>
          <w:szCs w:val="28"/>
        </w:rPr>
        <w:t>. В более общем нелинейном</w:t>
      </w:r>
      <w:r w:rsidRPr="00764CBB">
        <w:rPr>
          <w:rFonts w:ascii="Times New Roman" w:hAnsi="Times New Roman" w:cs="Times New Roman"/>
          <w:sz w:val="28"/>
          <w:szCs w:val="28"/>
        </w:rPr>
        <w:t xml:space="preserve"> </w:t>
      </w:r>
      <w:r w:rsidRPr="006F610E">
        <w:rPr>
          <w:rFonts w:ascii="Times New Roman" w:hAnsi="Times New Roman" w:cs="Times New Roman"/>
          <w:sz w:val="28"/>
          <w:szCs w:val="28"/>
        </w:rPr>
        <w:t>случае следует использовать интегральную форму</w:t>
      </w:r>
    </w:p>
    <w:p w14:paraId="72465FDC" w14:textId="77777777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75B13E" w14:textId="77777777" w:rsidR="00B033D7" w:rsidRPr="00764CBB" w:rsidRDefault="00B033D7" w:rsidP="008353D2">
      <w:pPr>
        <w:spacing w:line="360" w:lineRule="auto"/>
        <w:ind w:firstLine="709"/>
        <w:jc w:val="both"/>
      </w:pPr>
      <w:r w:rsidRPr="00B033D7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26476E25">
          <v:shape id="_x0000_i1057" type="#_x0000_t75" style="width:107.3pt;height:33.95pt" o:ole="">
            <v:imagedata r:id="rId79" o:title=""/>
          </v:shape>
          <o:OLEObject Type="Embed" ProgID="Equation.DSMT4" ShapeID="_x0000_i1057" DrawAspect="Content" ObjectID="_1835778496" r:id="rId80"/>
        </w:object>
      </w:r>
      <w:r w:rsidRPr="00B033D7">
        <w:t xml:space="preserve"> </w:t>
      </w:r>
    </w:p>
    <w:p w14:paraId="11F2F4C3" w14:textId="5CDFE927" w:rsidR="006F610E" w:rsidRPr="00764CBB" w:rsidRDefault="00B03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33D7">
        <w:rPr>
          <w:rFonts w:ascii="Times New Roman" w:hAnsi="Times New Roman" w:cs="Times New Roman"/>
          <w:sz w:val="28"/>
          <w:szCs w:val="28"/>
        </w:rPr>
        <w:t xml:space="preserve">Происхождение этих формул очевидно из теории </w:t>
      </w:r>
      <w:proofErr w:type="spellStart"/>
      <w:r w:rsidRPr="00B033D7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B033D7">
        <w:rPr>
          <w:rFonts w:ascii="Times New Roman" w:hAnsi="Times New Roman" w:cs="Times New Roman"/>
          <w:sz w:val="28"/>
          <w:szCs w:val="28"/>
        </w:rPr>
        <w:t xml:space="preserve"> процессов: остаточный ресурс равен расстоянию по </w:t>
      </w:r>
      <w:proofErr w:type="spellStart"/>
      <w:r w:rsidRPr="00B033D7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B033D7">
        <w:rPr>
          <w:rFonts w:ascii="Times New Roman" w:hAnsi="Times New Roman" w:cs="Times New Roman"/>
          <w:sz w:val="28"/>
          <w:szCs w:val="28"/>
        </w:rPr>
        <w:t xml:space="preserve"> координате до предельного состояния, делённому на скорость накопления повреждения. </w:t>
      </w:r>
      <w:r w:rsidRPr="00B033D7">
        <w:rPr>
          <w:rFonts w:ascii="Times New Roman" w:hAnsi="Times New Roman" w:cs="Times New Roman"/>
          <w:sz w:val="28"/>
          <w:szCs w:val="28"/>
        </w:rPr>
        <w:lastRenderedPageBreak/>
        <w:t xml:space="preserve">Именно такой переход от текущего состояния к скорости деградации и далее к </w:t>
      </w:r>
      <w:r w:rsidRPr="00B033D7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033D7">
        <w:rPr>
          <w:rFonts w:ascii="Times New Roman" w:hAnsi="Times New Roman" w:cs="Times New Roman"/>
          <w:sz w:val="28"/>
          <w:szCs w:val="28"/>
        </w:rPr>
        <w:t xml:space="preserve"> составляет центральную прогностическую логику всей диссертации.</w:t>
      </w:r>
    </w:p>
    <w:p w14:paraId="07234D20" w14:textId="1D8C13A9" w:rsidR="00B033D7" w:rsidRPr="00707496" w:rsidRDefault="0070749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7496">
        <w:rPr>
          <w:rFonts w:ascii="Times New Roman" w:hAnsi="Times New Roman" w:cs="Times New Roman"/>
          <w:sz w:val="28"/>
          <w:szCs w:val="28"/>
        </w:rPr>
        <w:t xml:space="preserve">Для визуализации остаточного ресурса была построена </w:t>
      </w:r>
      <w:proofErr w:type="spellStart"/>
      <w:r w:rsidRPr="00707496">
        <w:rPr>
          <w:rFonts w:ascii="Times New Roman" w:hAnsi="Times New Roman" w:cs="Times New Roman"/>
          <w:sz w:val="28"/>
          <w:szCs w:val="28"/>
        </w:rPr>
        <w:t>деградационная</w:t>
      </w:r>
      <w:proofErr w:type="spellEnd"/>
      <w:r w:rsidRPr="00707496">
        <w:rPr>
          <w:rFonts w:ascii="Times New Roman" w:hAnsi="Times New Roman" w:cs="Times New Roman"/>
          <w:sz w:val="28"/>
          <w:szCs w:val="28"/>
        </w:rPr>
        <w:t xml:space="preserve"> траектория опытного тягового модуля, на которой отмечены текущая точка состояния и прогнозируемый момент достижения порога конца ресурса.</w:t>
      </w:r>
    </w:p>
    <w:p w14:paraId="36C24842" w14:textId="48020708" w:rsidR="006F610E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9469FEE" wp14:editId="477BC08D">
            <wp:extent cx="6119495" cy="3515360"/>
            <wp:effectExtent l="0" t="0" r="0" b="8890"/>
            <wp:docPr id="2576265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4C10" w14:textId="23D569C5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 xml:space="preserve">Рисунок 1.10 — Определение остаточного ресурса по </w:t>
      </w:r>
      <w:proofErr w:type="spellStart"/>
      <w:r w:rsidRPr="00FC1FE6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FC1FE6">
        <w:rPr>
          <w:rFonts w:ascii="Times New Roman" w:hAnsi="Times New Roman" w:cs="Times New Roman"/>
          <w:sz w:val="28"/>
          <w:szCs w:val="28"/>
        </w:rPr>
        <w:t xml:space="preserve"> траектории</w:t>
      </w:r>
    </w:p>
    <w:p w14:paraId="77B6C8E0" w14:textId="77777777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3247B" w14:textId="4E39B6F1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 xml:space="preserve">На рисунке представлена типичная кривая деградации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1FE6">
        <w:rPr>
          <w:rFonts w:ascii="Times New Roman" w:hAnsi="Times New Roman" w:cs="Times New Roman"/>
          <w:sz w:val="28"/>
          <w:szCs w:val="28"/>
        </w:rPr>
        <w:t xml:space="preserve">, по которой определяется остаточный ресурс батареи. Вертикальная линия в левой части графика соответствует текущему состоянию батареи, а вторая вертикальная линия — ожидаемому числу циклов, при котором будет достигнут порог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=80%</w:t>
      </w:r>
      <w:r w:rsidRPr="00FC1FE6">
        <w:rPr>
          <w:rFonts w:ascii="Times New Roman" w:hAnsi="Times New Roman" w:cs="Times New Roman"/>
          <w:sz w:val="28"/>
          <w:szCs w:val="28"/>
        </w:rPr>
        <w:t xml:space="preserve">. </w:t>
      </w:r>
      <w:r w:rsidR="002638C1" w:rsidRPr="002638C1">
        <w:rPr>
          <w:rFonts w:ascii="Times New Roman" w:hAnsi="Times New Roman" w:cs="Times New Roman"/>
          <w:sz w:val="28"/>
          <w:szCs w:val="28"/>
        </w:rPr>
        <w:t>Расстояние между этими двумя линиями по оси циклов и определяет остаточный ресурс батареи в цикловой форме.</w:t>
      </w:r>
    </w:p>
    <w:p w14:paraId="558EA41F" w14:textId="05E9B47B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8C1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наглядно связывает диагностическую часть задачи с прогностической. Пока известна только текущая </w:t>
      </w:r>
      <w:r w:rsidRPr="002638C1">
        <w:rPr>
          <w:rFonts w:ascii="Times New Roman" w:hAnsi="Times New Roman" w:cs="Times New Roman"/>
          <w:sz w:val="28"/>
          <w:szCs w:val="28"/>
        </w:rPr>
        <w:lastRenderedPageBreak/>
        <w:t xml:space="preserve">точка, возможна лишь констатация состояния; когда известна траектория деградации, появляется возможность прогноза </w:t>
      </w:r>
      <w:r w:rsidRPr="002638C1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638C1">
        <w:rPr>
          <w:rFonts w:ascii="Times New Roman" w:hAnsi="Times New Roman" w:cs="Times New Roman"/>
          <w:sz w:val="28"/>
          <w:szCs w:val="28"/>
        </w:rPr>
        <w:t>. Практическая ценность рисунка заключается в том, что он демонстрирует алгоритмическую основу ресурсного сопровождения батареи:</w:t>
      </w:r>
      <w:r w:rsidRPr="002638C1">
        <w:t xml:space="preserve"> </w:t>
      </w:r>
      <w:r w:rsidRPr="002638C1">
        <w:rPr>
          <w:rFonts w:ascii="Times New Roman" w:hAnsi="Times New Roman" w:cs="Times New Roman"/>
          <w:sz w:val="28"/>
          <w:szCs w:val="28"/>
        </w:rPr>
        <w:t>от измерения параметров к идентификации траектории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638C1">
        <w:rPr>
          <w:rFonts w:ascii="Times New Roman" w:hAnsi="Times New Roman" w:cs="Times New Roman"/>
          <w:sz w:val="28"/>
          <w:szCs w:val="28"/>
        </w:rPr>
        <w:t xml:space="preserve"> далее к прогнозу конца ресурса.</w:t>
      </w:r>
    </w:p>
    <w:p w14:paraId="11B08376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D5FB8E" w14:textId="43E7134F" w:rsidR="00520843" w:rsidRP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1.3.5 Взаимосвязь показателей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</w:p>
    <w:p w14:paraId="64F89ADF" w14:textId="77777777" w:rsid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E4CCD7" w14:textId="27EACC09" w:rsidR="00520843" w:rsidRDefault="006D51C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1C4">
        <w:rPr>
          <w:rFonts w:ascii="Times New Roman" w:hAnsi="Times New Roman" w:cs="Times New Roman"/>
          <w:sz w:val="28"/>
          <w:szCs w:val="28"/>
        </w:rPr>
        <w:t>Рассматриваемые показатели не являются независимыми. 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D51C4">
        <w:rPr>
          <w:rFonts w:ascii="Times New Roman" w:hAnsi="Times New Roman" w:cs="Times New Roman"/>
          <w:sz w:val="28"/>
          <w:szCs w:val="28"/>
        </w:rPr>
        <w:t xml:space="preserve"> влияет на доступное напряжение и тем самым на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D51C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B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доступную ёмкость </w:t>
      </w:r>
      <w:r w:rsidR="00CB155F" w:rsidRPr="00CB155F">
        <w:rPr>
          <w:rFonts w:ascii="Times New Roman" w:hAnsi="Times New Roman" w:cs="Times New Roman"/>
          <w:sz w:val="28"/>
          <w:szCs w:val="28"/>
        </w:rPr>
        <w:t>и внутренний импеданс, а потому влияет как на запас энергии, так и на максимальную мощность. Параметр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>
        <w:rPr>
          <w:rFonts w:ascii="Times New Roman" w:hAnsi="Times New Roman" w:cs="Times New Roman"/>
          <w:sz w:val="28"/>
          <w:szCs w:val="28"/>
        </w:rPr>
        <w:t xml:space="preserve">в </w:t>
      </w:r>
      <w:r w:rsidR="00CB155F" w:rsidRPr="00CB155F">
        <w:rPr>
          <w:rFonts w:ascii="Times New Roman" w:hAnsi="Times New Roman" w:cs="Times New Roman"/>
          <w:sz w:val="28"/>
          <w:szCs w:val="28"/>
        </w:rPr>
        <w:t>свою очередь определяется не только текущим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CB155F" w:rsidRPr="00CB155F">
        <w:rPr>
          <w:rFonts w:ascii="Times New Roman" w:hAnsi="Times New Roman" w:cs="Times New Roman"/>
          <w:sz w:val="28"/>
          <w:szCs w:val="28"/>
        </w:rPr>
        <w:t>, но и скоростью его изменения, а значит — режимом эксплуатации, температурой и внутренними импедансными параметрами.</w:t>
      </w:r>
    </w:p>
    <w:p w14:paraId="1EF4821A" w14:textId="396C7109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55F">
        <w:rPr>
          <w:rFonts w:ascii="Times New Roman" w:hAnsi="Times New Roman" w:cs="Times New Roman"/>
          <w:sz w:val="28"/>
          <w:szCs w:val="28"/>
        </w:rPr>
        <w:t>Для целей диссертации эта взаимосвязь может быть представлена системой</w:t>
      </w:r>
    </w:p>
    <w:p w14:paraId="4B5B8E36" w14:textId="77777777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D6D515" w14:textId="01BD77CF" w:rsidR="00CB155F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</w:rPr>
        <w:object w:dxaOrig="1920" w:dyaOrig="400" w14:anchorId="666DD195">
          <v:shape id="_x0000_i1058" type="#_x0000_t75" style="width:96.45pt;height:20.4pt" o:ole="">
            <v:imagedata r:id="rId82" o:title=""/>
          </v:shape>
          <o:OLEObject Type="Embed" ProgID="Equation.DSMT4" ShapeID="_x0000_i1058" DrawAspect="Content" ObjectID="_1835778497" r:id="rId83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32E47732" w14:textId="1BC0DC49" w:rsidR="00EC5BEB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2840" w:dyaOrig="440" w14:anchorId="17814122">
          <v:shape id="_x0000_i1059" type="#_x0000_t75" style="width:141.95pt;height:21.75pt" o:ole="">
            <v:imagedata r:id="rId84" o:title=""/>
          </v:shape>
          <o:OLEObject Type="Embed" ProgID="Equation.DSMT4" ShapeID="_x0000_i1059" DrawAspect="Content" ObjectID="_1835778498" r:id="rId85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4829E069" w14:textId="712CB5EB" w:rsidR="00EC5BEB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920" w:dyaOrig="400" w14:anchorId="2994B8B5">
          <v:shape id="_x0000_i1060" type="#_x0000_t75" style="width:146.05pt;height:20.4pt" o:ole="">
            <v:imagedata r:id="rId86" o:title=""/>
          </v:shape>
          <o:OLEObject Type="Embed" ProgID="Equation.DSMT4" ShapeID="_x0000_i1060" DrawAspect="Content" ObjectID="_1835778499" r:id="rId87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3FDEBFF2" w14:textId="73743C41" w:rsidR="00CB155F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28"/>
          <w:sz w:val="28"/>
          <w:szCs w:val="28"/>
        </w:rPr>
        <w:object w:dxaOrig="4180" w:dyaOrig="680" w14:anchorId="51711635">
          <v:shape id="_x0000_i1061" type="#_x0000_t75" style="width:209.2pt;height:33.95pt" o:ole="">
            <v:imagedata r:id="rId88" o:title=""/>
          </v:shape>
          <o:OLEObject Type="Embed" ProgID="Equation.DSMT4" ShapeID="_x0000_i1061" DrawAspect="Content" ObjectID="_1835778500" r:id="rId89"/>
        </w:objec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CEC976" w14:textId="77777777" w:rsidR="00EC5BE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512516" w14:textId="6DCCED24" w:rsidR="00EC5BE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7E1">
        <w:rPr>
          <w:rFonts w:ascii="Times New Roman" w:hAnsi="Times New Roman" w:cs="Times New Roman"/>
          <w:sz w:val="28"/>
          <w:szCs w:val="28"/>
        </w:rPr>
        <w:t xml:space="preserve">Данная система не вводится как завершённая вычислительная модель, а задаёт структурную иерархию параметров. В последующих главах именно она </w:t>
      </w:r>
      <w:r w:rsidRPr="000347E1">
        <w:rPr>
          <w:rFonts w:ascii="Times New Roman" w:hAnsi="Times New Roman" w:cs="Times New Roman"/>
          <w:sz w:val="28"/>
          <w:szCs w:val="28"/>
        </w:rPr>
        <w:lastRenderedPageBreak/>
        <w:t>будет конкретизирована сначала на уровне импедансной модели, затем на уровне диагностических критериев и, наконец, на уровне прогностического алгоритма.</w:t>
      </w:r>
    </w:p>
    <w:p w14:paraId="1EC4A504" w14:textId="77777777" w:rsidR="000347E1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0A5140" w14:paraId="1D8E8118" w14:textId="77777777" w:rsidTr="000A5140">
        <w:tc>
          <w:tcPr>
            <w:tcW w:w="2406" w:type="dxa"/>
          </w:tcPr>
          <w:p w14:paraId="6E9EABC6" w14:textId="0C767F02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2407" w:type="dxa"/>
          </w:tcPr>
          <w:p w14:paraId="5830B148" w14:textId="4CB127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Основная физическая интерпретация</w:t>
            </w:r>
          </w:p>
        </w:tc>
        <w:tc>
          <w:tcPr>
            <w:tcW w:w="2407" w:type="dxa"/>
          </w:tcPr>
          <w:p w14:paraId="5F0DF5CA" w14:textId="632A8A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Базовая формула</w:t>
            </w:r>
          </w:p>
        </w:tc>
        <w:tc>
          <w:tcPr>
            <w:tcW w:w="2407" w:type="dxa"/>
          </w:tcPr>
          <w:p w14:paraId="359B3008" w14:textId="5D882C65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Главный недостаток при изолированном использовании</w:t>
            </w:r>
          </w:p>
        </w:tc>
      </w:tr>
      <w:tr w:rsidR="000A5140" w14:paraId="7C25484A" w14:textId="77777777" w:rsidTr="000A5140">
        <w:tc>
          <w:tcPr>
            <w:tcW w:w="2406" w:type="dxa"/>
          </w:tcPr>
          <w:p w14:paraId="7EFB358E" w14:textId="2D728E83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SOC</w:t>
            </w:r>
          </w:p>
        </w:tc>
        <w:tc>
          <w:tcPr>
            <w:tcW w:w="2407" w:type="dxa"/>
          </w:tcPr>
          <w:p w14:paraId="06427F80" w14:textId="46D49D47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Текущий запас заряда</w:t>
            </w:r>
          </w:p>
        </w:tc>
        <w:tc>
          <w:tcPr>
            <w:tcW w:w="2407" w:type="dxa"/>
          </w:tcPr>
          <w:p w14:paraId="40220F2B" w14:textId="68233CA1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00" w:dyaOrig="360" w14:anchorId="5C69D783">
                <v:shape id="_x0000_i1062" type="#_x0000_t75" style="width:74.7pt;height:17.65pt" o:ole="">
                  <v:imagedata r:id="rId90" o:title=""/>
                </v:shape>
                <o:OLEObject Type="Embed" ProgID="Equation.DSMT4" ShapeID="_x0000_i1062" DrawAspect="Content" ObjectID="_1835778501" r:id="rId91"/>
              </w:object>
            </w:r>
          </w:p>
        </w:tc>
        <w:tc>
          <w:tcPr>
            <w:tcW w:w="2407" w:type="dxa"/>
          </w:tcPr>
          <w:p w14:paraId="75ACAAE7" w14:textId="1EA6E6B2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 отражает внутреннюю деградацию</w:t>
            </w:r>
          </w:p>
        </w:tc>
      </w:tr>
      <w:tr w:rsidR="000A5140" w14:paraId="0D84C11B" w14:textId="77777777" w:rsidTr="000A5140">
        <w:tc>
          <w:tcPr>
            <w:tcW w:w="2406" w:type="dxa"/>
          </w:tcPr>
          <w:p w14:paraId="3D534022" w14:textId="0DD27F8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SOH</w:t>
            </w:r>
          </w:p>
        </w:tc>
        <w:tc>
          <w:tcPr>
            <w:tcW w:w="2407" w:type="dxa"/>
          </w:tcPr>
          <w:p w14:paraId="3DD03EEE" w14:textId="7D4C58E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Степень старения батареи</w:t>
            </w:r>
          </w:p>
        </w:tc>
        <w:tc>
          <w:tcPr>
            <w:tcW w:w="2407" w:type="dxa"/>
          </w:tcPr>
          <w:p w14:paraId="790AFD7C" w14:textId="32F72100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40" w:dyaOrig="360" w14:anchorId="3040466C">
                <v:shape id="_x0000_i1063" type="#_x0000_t75" style="width:77.45pt;height:17.65pt" o:ole="">
                  <v:imagedata r:id="rId92" o:title=""/>
                </v:shape>
                <o:OLEObject Type="Embed" ProgID="Equation.DSMT4" ShapeID="_x0000_i1063" DrawAspect="Content" ObjectID="_1835778502" r:id="rId93"/>
              </w:objec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или </w:t>
            </w: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480" w:dyaOrig="400" w14:anchorId="2D2BC0DB">
                <v:shape id="_x0000_i1064" type="#_x0000_t75" style="width:74.05pt;height:20.4pt" o:ole="">
                  <v:imagedata r:id="rId94" o:title=""/>
                </v:shape>
                <o:OLEObject Type="Embed" ProgID="Equation.DSMT4" ShapeID="_x0000_i1064" DrawAspect="Content" ObjectID="_1835778503" r:id="rId95"/>
              </w:object>
            </w:r>
          </w:p>
        </w:tc>
        <w:tc>
          <w:tcPr>
            <w:tcW w:w="2407" w:type="dxa"/>
          </w:tcPr>
          <w:p w14:paraId="35AB73C3" w14:textId="0E31228C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При ёмкостной трактовке запаздывает относительно ранней деградации</w:t>
            </w:r>
          </w:p>
        </w:tc>
      </w:tr>
      <w:tr w:rsidR="000A5140" w14:paraId="507389C7" w14:textId="77777777" w:rsidTr="000A5140">
        <w:tc>
          <w:tcPr>
            <w:tcW w:w="2406" w:type="dxa"/>
          </w:tcPr>
          <w:p w14:paraId="38F0E44D" w14:textId="5CB7EE92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SOF</w:t>
            </w:r>
          </w:p>
        </w:tc>
        <w:tc>
          <w:tcPr>
            <w:tcW w:w="2407" w:type="dxa"/>
          </w:tcPr>
          <w:p w14:paraId="0C73405B" w14:textId="2CE7B15C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Доступная мощность</w:t>
            </w:r>
          </w:p>
        </w:tc>
        <w:tc>
          <w:tcPr>
            <w:tcW w:w="2407" w:type="dxa"/>
          </w:tcPr>
          <w:p w14:paraId="3C78A97E" w14:textId="7E0F5BA8" w:rsidR="000A5140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00" w:dyaOrig="400" w14:anchorId="77DAF3F7">
                <v:shape id="_x0000_i1065" type="#_x0000_t75" style="width:100.55pt;height:20.4pt" o:ole="">
                  <v:imagedata r:id="rId96" o:title=""/>
                </v:shape>
                <o:OLEObject Type="Embed" ProgID="Equation.DSMT4" ShapeID="_x0000_i1065" DrawAspect="Content" ObjectID="_1835778504" r:id="rId97"/>
              </w:object>
            </w:r>
          </w:p>
        </w:tc>
        <w:tc>
          <w:tcPr>
            <w:tcW w:w="2407" w:type="dxa"/>
          </w:tcPr>
          <w:p w14:paraId="7C0B16B8" w14:textId="725751C7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Требует знания не только заряда, но и импедансного состояния</w:t>
            </w:r>
          </w:p>
        </w:tc>
      </w:tr>
      <w:tr w:rsidR="000A5140" w14:paraId="541815A7" w14:textId="77777777" w:rsidTr="000A5140">
        <w:tc>
          <w:tcPr>
            <w:tcW w:w="2406" w:type="dxa"/>
          </w:tcPr>
          <w:p w14:paraId="7B7977B9" w14:textId="4E839A4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RUL</w:t>
            </w:r>
          </w:p>
        </w:tc>
        <w:tc>
          <w:tcPr>
            <w:tcW w:w="2407" w:type="dxa"/>
          </w:tcPr>
          <w:p w14:paraId="7DF2EBA4" w14:textId="1287EE10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Остаточный срок службы</w:t>
            </w:r>
          </w:p>
        </w:tc>
        <w:tc>
          <w:tcPr>
            <w:tcW w:w="2407" w:type="dxa"/>
          </w:tcPr>
          <w:p w14:paraId="6B46E118" w14:textId="3E5C83C6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B6620D0">
                <v:shape id="_x0000_i1066" type="#_x0000_t75" style="width:89pt;height:17.65pt" o:ole="">
                  <v:imagedata r:id="rId98" o:title=""/>
                </v:shape>
                <o:OLEObject Type="Embed" ProgID="Equation.DSMT4" ShapeID="_x0000_i1066" DrawAspect="Content" ObjectID="_1835778505" r:id="rId99"/>
              </w:object>
            </w:r>
          </w:p>
        </w:tc>
        <w:tc>
          <w:tcPr>
            <w:tcW w:w="2407" w:type="dxa"/>
          </w:tcPr>
          <w:p w14:paraId="193652ED" w14:textId="24DAADC0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 xml:space="preserve">Невозможен без модели </w:t>
            </w:r>
            <w:proofErr w:type="spellStart"/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деградационной</w:t>
            </w:r>
            <w:proofErr w:type="spellEnd"/>
            <w:r w:rsidRPr="00855B00">
              <w:rPr>
                <w:rFonts w:ascii="Times New Roman" w:hAnsi="Times New Roman" w:cs="Times New Roman"/>
                <w:sz w:val="28"/>
                <w:szCs w:val="28"/>
              </w:rPr>
              <w:t xml:space="preserve"> траектории</w:t>
            </w:r>
          </w:p>
        </w:tc>
      </w:tr>
    </w:tbl>
    <w:p w14:paraId="58FC8B36" w14:textId="77777777" w:rsidR="000347E1" w:rsidRPr="00764CB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ADD997" w14:textId="4385A5C4" w:rsidR="00855B00" w:rsidRPr="00D05F77" w:rsidRDefault="00131CC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CCA">
        <w:rPr>
          <w:rFonts w:ascii="Times New Roman" w:hAnsi="Times New Roman" w:cs="Times New Roman"/>
          <w:sz w:val="28"/>
          <w:szCs w:val="28"/>
        </w:rPr>
        <w:t xml:space="preserve">Таким образом, показатели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образуют единую систему описания технического состояния тяговой аккумуляторной батареи. </w:t>
      </w:r>
      <w:r w:rsidRPr="00131CCA">
        <w:rPr>
          <w:rFonts w:ascii="Times New Roman" w:hAnsi="Times New Roman" w:cs="Times New Roman"/>
          <w:sz w:val="28"/>
          <w:szCs w:val="28"/>
        </w:rPr>
        <w:t>Среди 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 отражает краткосрочное состояние,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накопленную деградацию,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>
        <w:rPr>
          <w:rFonts w:ascii="Times New Roman" w:hAnsi="Times New Roman" w:cs="Times New Roman"/>
          <w:sz w:val="28"/>
          <w:szCs w:val="28"/>
        </w:rPr>
        <w:t xml:space="preserve"> – текущее силовое качество батареи, а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– её будущую </w:t>
      </w:r>
      <w:r>
        <w:rPr>
          <w:rFonts w:ascii="Times New Roman" w:hAnsi="Times New Roman" w:cs="Times New Roman"/>
          <w:sz w:val="28"/>
          <w:szCs w:val="28"/>
        </w:rPr>
        <w:lastRenderedPageBreak/>
        <w:t>работоспособность.</w:t>
      </w:r>
      <w:r w:rsidR="00D05F77" w:rsidRPr="00D05F77">
        <w:t xml:space="preserve"> </w:t>
      </w:r>
      <w:r w:rsidR="00D05F77" w:rsidRPr="00D05F77">
        <w:rPr>
          <w:rFonts w:ascii="Times New Roman" w:hAnsi="Times New Roman" w:cs="Times New Roman"/>
          <w:sz w:val="28"/>
          <w:szCs w:val="28"/>
        </w:rPr>
        <w:t>Для построения физически обоснованной системы прогноза ресурса принципиально важен переход от традиционной ёмкостной трактовки</w:t>
      </w:r>
      <w:r w:rsidR="00D05F77">
        <w:rPr>
          <w:rFonts w:ascii="Times New Roman" w:hAnsi="Times New Roman" w:cs="Times New Roman"/>
          <w:sz w:val="28"/>
          <w:szCs w:val="28"/>
        </w:rPr>
        <w:t xml:space="preserve"> </w:t>
      </w:r>
      <w:r w:rsidR="00D05F77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D05F77" w:rsidRPr="00D05F77">
        <w:rPr>
          <w:rFonts w:ascii="Times New Roman" w:hAnsi="Times New Roman" w:cs="Times New Roman"/>
          <w:sz w:val="28"/>
          <w:szCs w:val="28"/>
        </w:rPr>
        <w:t xml:space="preserve"> к его импедансной интерпретации, поскольку именно она обеспечивает раннюю чувствительность к деградации и позволяет связать диагностический и прогностический уровни анализа.</w:t>
      </w:r>
    </w:p>
    <w:p w14:paraId="77BE72A0" w14:textId="77777777" w:rsidR="00855B00" w:rsidRPr="00764CBB" w:rsidRDefault="00855B0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50536" w14:textId="1F1C8858" w:rsidR="00764CBB" w:rsidRPr="00764CBB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4CBB">
        <w:rPr>
          <w:rFonts w:ascii="Times New Roman" w:hAnsi="Times New Roman" w:cs="Times New Roman"/>
          <w:b/>
          <w:bCs/>
          <w:sz w:val="28"/>
          <w:szCs w:val="28"/>
        </w:rPr>
        <w:t>1.4 Электрохимическая импедансная спектроскопия как диагностический инструмент</w:t>
      </w:r>
    </w:p>
    <w:p w14:paraId="6FB8148B" w14:textId="77777777" w:rsidR="00764CBB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3C981E" w14:textId="025826D2" w:rsidR="00764CBB" w:rsidRDefault="00621FA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21FAF">
        <w:rPr>
          <w:rFonts w:ascii="Times New Roman" w:hAnsi="Times New Roman" w:cs="Times New Roman"/>
          <w:sz w:val="28"/>
          <w:szCs w:val="28"/>
        </w:rPr>
        <w:t xml:space="preserve">Электрохимическая импедансная спектроскопия представляет собой частотный метод анализа отклика электрохимической системы на малое гармоническое возмущение тока </w:t>
      </w:r>
      <w:r w:rsidRPr="00A15C66">
        <w:rPr>
          <w:rFonts w:ascii="Times New Roman" w:hAnsi="Times New Roman" w:cs="Times New Roman"/>
          <w:sz w:val="28"/>
          <w:szCs w:val="28"/>
          <w:highlight w:val="yellow"/>
        </w:rPr>
        <w:t>или напряжения</w:t>
      </w:r>
      <w:r w:rsidRPr="00621FAF">
        <w:rPr>
          <w:rFonts w:ascii="Times New Roman" w:hAnsi="Times New Roman" w:cs="Times New Roman"/>
          <w:sz w:val="28"/>
          <w:szCs w:val="28"/>
        </w:rPr>
        <w:t>. Современные обзоры и учебные работы подчёркивают, что EIS позволяет разложить суммарный электрический отклик батареи на вклады омической проводимости, межфазного переноса заряда, ёмкостного поведения двойного электрического слоя и диффузионного переноса вещества. Именно эта декомпозиция делает EIS особенно ценным методом для диагностики аккумуляторных батарей, поскольку различные механизмы старения отражаются в разных участках спектра и в разных параметрах эквивалентной модели. </w:t>
      </w:r>
    </w:p>
    <w:p w14:paraId="745704DF" w14:textId="74A5170C" w:rsidR="00A15C66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5C66">
        <w:rPr>
          <w:rFonts w:ascii="Times New Roman" w:hAnsi="Times New Roman" w:cs="Times New Roman"/>
          <w:sz w:val="28"/>
          <w:szCs w:val="28"/>
        </w:rPr>
        <w:t>Математическая основа метода опирается на теорию линейных стационарных систем. Если на исследуемую электрохимическую систему подаётся гармонический ток</w:t>
      </w:r>
    </w:p>
    <w:p w14:paraId="2C646FFB" w14:textId="77777777" w:rsidR="00A15C66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BAD1BEC" w14:textId="4053B54C" w:rsidR="00A15C66" w:rsidRP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719" w:dyaOrig="360" w14:anchorId="5CDB74D9">
          <v:shape id="_x0000_i1072" type="#_x0000_t75" style="width:86.25pt;height:18.35pt" o:ole="">
            <v:imagedata r:id="rId100" o:title=""/>
          </v:shape>
          <o:OLEObject Type="Embed" ProgID="Equation.DSMT4" ShapeID="_x0000_i1072" DrawAspect="Content" ObjectID="_1835778506" r:id="rId101"/>
        </w:object>
      </w:r>
      <w:r w:rsidRPr="00947272">
        <w:rPr>
          <w:rFonts w:ascii="Times New Roman" w:hAnsi="Times New Roman" w:cs="Times New Roman"/>
          <w:sz w:val="28"/>
          <w:szCs w:val="28"/>
        </w:rPr>
        <w:t>,</w:t>
      </w:r>
    </w:p>
    <w:p w14:paraId="7EFADA78" w14:textId="1DB50032" w:rsidR="00A15C66" w:rsidRP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то при условии малости возмущения отклик по напряжению также будет гармоническим:</w:t>
      </w:r>
    </w:p>
    <w:p w14:paraId="34210667" w14:textId="2ADD9C04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472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939" w:dyaOrig="360" w14:anchorId="0B616DD9">
          <v:shape id="_x0000_i1074" type="#_x0000_t75" style="width:97.15pt;height:18.35pt" o:ole="">
            <v:imagedata r:id="rId102" o:title=""/>
          </v:shape>
          <o:OLEObject Type="Embed" ProgID="Equation.DSMT4" ShapeID="_x0000_i1074" DrawAspect="Content" ObjectID="_1835778507" r:id="rId103"/>
        </w:object>
      </w:r>
    </w:p>
    <w:p w14:paraId="33E50A4C" w14:textId="74C8C1C7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, где φ –фазовый сдвиг </w:t>
      </w:r>
      <w:r w:rsidRPr="00947272">
        <w:rPr>
          <w:rFonts w:ascii="Times New Roman" w:hAnsi="Times New Roman" w:cs="Times New Roman"/>
          <w:sz w:val="28"/>
          <w:szCs w:val="28"/>
        </w:rPr>
        <w:t>между током и напряжением.</w:t>
      </w:r>
    </w:p>
    <w:p w14:paraId="64E7185D" w14:textId="2034CABA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Переход к комплексной форме осуществляется стандартным образом через</w:t>
      </w:r>
      <w:r w:rsidR="00B76180">
        <w:rPr>
          <w:rFonts w:ascii="Times New Roman" w:hAnsi="Times New Roman" w:cs="Times New Roman"/>
          <w:sz w:val="28"/>
          <w:szCs w:val="28"/>
        </w:rPr>
        <w:t xml:space="preserve"> </w:t>
      </w:r>
      <w:r w:rsidR="00B76180" w:rsidRPr="00B76180">
        <w:rPr>
          <w:rFonts w:ascii="Times New Roman" w:hAnsi="Times New Roman" w:cs="Times New Roman"/>
          <w:sz w:val="28"/>
          <w:szCs w:val="28"/>
        </w:rPr>
        <w:t>представление гармонических функций как вещественной части комплексной экспоненты. Тогда комплексный импеданс определяется как</w:t>
      </w:r>
    </w:p>
    <w:p w14:paraId="34539E7C" w14:textId="77777777" w:rsidR="00B76180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8C048E" w14:textId="35ECE6E4" w:rsidR="00B76180" w:rsidRPr="00B76180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6180">
        <w:rPr>
          <w:rFonts w:ascii="Times New Roman" w:hAnsi="Times New Roman" w:cs="Times New Roman"/>
          <w:position w:val="-40"/>
          <w:sz w:val="28"/>
          <w:szCs w:val="28"/>
        </w:rPr>
        <w:object w:dxaOrig="1420" w:dyaOrig="920" w14:anchorId="4FA1F126">
          <v:shape id="_x0000_i1077" type="#_x0000_t75" style="width:71.3pt;height:46.2pt" o:ole="">
            <v:imagedata r:id="rId104" o:title=""/>
          </v:shape>
          <o:OLEObject Type="Embed" ProgID="Equation.DSMT4" ShapeID="_x0000_i1077" DrawAspect="Content" ObjectID="_1835778508" r:id="rId105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893F986" w14:textId="77777777" w:rsidR="00B76180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D307A2" w14:textId="1096820E" w:rsidR="00B76180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8E0">
        <w:rPr>
          <w:rFonts w:ascii="Times New Roman" w:hAnsi="Times New Roman" w:cs="Times New Roman"/>
          <w:sz w:val="28"/>
          <w:szCs w:val="28"/>
        </w:rPr>
        <w:t xml:space="preserve">Это соотношение является частотным </w:t>
      </w:r>
      <w:r w:rsidRPr="00AF78E0">
        <w:rPr>
          <w:rFonts w:ascii="Times New Roman" w:hAnsi="Times New Roman" w:cs="Times New Roman"/>
          <w:sz w:val="28"/>
          <w:szCs w:val="28"/>
          <w:highlight w:val="yellow"/>
        </w:rPr>
        <w:t>аналогом</w:t>
      </w:r>
      <w:r w:rsidRPr="00AF78E0">
        <w:rPr>
          <w:rFonts w:ascii="Times New Roman" w:hAnsi="Times New Roman" w:cs="Times New Roman"/>
          <w:sz w:val="28"/>
          <w:szCs w:val="28"/>
        </w:rPr>
        <w:t xml:space="preserve"> закона Ома и используется потому, что позволяет анализировать не только модуль отклика, но и фазовые соотношения, то есть различать резистивную, ёмкостную и диффузионную природу процессов внутри аккумулятора. В современной методологии EIS именно анализ комплексной формы </w:t>
      </w:r>
      <w:r w:rsidRPr="00AF78E0">
        <w:rPr>
          <w:rFonts w:ascii="Times New Roman" w:hAnsi="Times New Roman" w:cs="Times New Roman"/>
          <w:i/>
          <w:iCs/>
          <w:sz w:val="28"/>
          <w:szCs w:val="28"/>
        </w:rPr>
        <w:t>Z(ω)</w:t>
      </w:r>
      <w:r w:rsidRPr="00AF78E0">
        <w:rPr>
          <w:rFonts w:ascii="Times New Roman" w:hAnsi="Times New Roman" w:cs="Times New Roman"/>
          <w:sz w:val="28"/>
          <w:szCs w:val="28"/>
        </w:rPr>
        <w:t>, а не только модуля сопротивления, рассматривается как принципиально необходимый для корректной физической интерпретации данных.</w:t>
      </w:r>
    </w:p>
    <w:p w14:paraId="47A24970" w14:textId="05444EC7" w:rsidR="00AF78E0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8E0">
        <w:rPr>
          <w:rFonts w:ascii="Times New Roman" w:hAnsi="Times New Roman" w:cs="Times New Roman"/>
          <w:sz w:val="28"/>
          <w:szCs w:val="28"/>
        </w:rPr>
        <w:t>В комплексной форме импеданс записывается как</w:t>
      </w:r>
    </w:p>
    <w:p w14:paraId="17A50F48" w14:textId="77777777" w:rsidR="00AF78E0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0F2DBB" w14:textId="4013224D" w:rsidR="00AF78E0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B1D5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400" w:dyaOrig="400" w14:anchorId="70603D33">
          <v:shape id="_x0000_i1080" type="#_x0000_t75" style="width:120.25pt;height:19.7pt" o:ole="">
            <v:imagedata r:id="rId106" o:title=""/>
          </v:shape>
          <o:OLEObject Type="Embed" ProgID="Equation.DSMT4" ShapeID="_x0000_i1080" DrawAspect="Content" ObjectID="_1835778509" r:id="rId107"/>
        </w:object>
      </w:r>
    </w:p>
    <w:p w14:paraId="0BF5D364" w14:textId="77777777" w:rsidR="00AF78E0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668B5C" w14:textId="087580BE" w:rsidR="002B1D51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</w:p>
    <w:p w14:paraId="78BD8369" w14:textId="0973AE50" w:rsidR="002B1D51" w:rsidRPr="00B525A8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’(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B1D51">
        <w:rPr>
          <w:rFonts w:ascii="Times New Roman" w:hAnsi="Times New Roman" w:cs="Times New Roman"/>
          <w:sz w:val="28"/>
          <w:szCs w:val="28"/>
        </w:rPr>
        <w:t xml:space="preserve"> – </w:t>
      </w:r>
      <w:r w:rsidRPr="00B525A8">
        <w:rPr>
          <w:rFonts w:ascii="Times New Roman" w:hAnsi="Times New Roman" w:cs="Times New Roman"/>
          <w:sz w:val="28"/>
          <w:szCs w:val="28"/>
        </w:rPr>
        <w:t>действительная часть,</w:t>
      </w:r>
    </w:p>
    <w:p w14:paraId="476D571F" w14:textId="3730CE5D" w:rsidR="002B1D51" w:rsidRPr="00B525A8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End"/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B525A8">
        <w:rPr>
          <w:rFonts w:ascii="Times New Roman" w:hAnsi="Times New Roman" w:cs="Times New Roman"/>
          <w:sz w:val="28"/>
          <w:szCs w:val="28"/>
        </w:rPr>
        <w:t xml:space="preserve"> – </w:t>
      </w:r>
      <w:r w:rsidRPr="00B525A8">
        <w:rPr>
          <w:rFonts w:ascii="Times New Roman" w:hAnsi="Times New Roman" w:cs="Times New Roman"/>
          <w:sz w:val="28"/>
          <w:szCs w:val="28"/>
        </w:rPr>
        <w:t>мнимая</w:t>
      </w:r>
      <w:r w:rsidRPr="00B525A8">
        <w:rPr>
          <w:rFonts w:ascii="Times New Roman" w:hAnsi="Times New Roman" w:cs="Times New Roman"/>
          <w:sz w:val="28"/>
          <w:szCs w:val="28"/>
        </w:rPr>
        <w:t xml:space="preserve"> часть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импеданса.</w:t>
      </w:r>
    </w:p>
    <w:p w14:paraId="791E3CD5" w14:textId="38CAA4C6" w:rsidR="002B1D51" w:rsidRPr="00B525A8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Действительная часть соответствует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диссипативным</w:t>
      </w:r>
      <w:r w:rsidRPr="00B525A8">
        <w:rPr>
          <w:rFonts w:ascii="Times New Roman" w:hAnsi="Times New Roman" w:cs="Times New Roman"/>
          <w:sz w:val="28"/>
          <w:szCs w:val="28"/>
        </w:rPr>
        <w:t xml:space="preserve"> потерям</w:t>
      </w:r>
      <w:r w:rsidRPr="00B525A8">
        <w:rPr>
          <w:rFonts w:ascii="Times New Roman" w:hAnsi="Times New Roman" w:cs="Times New Roman"/>
          <w:sz w:val="28"/>
          <w:szCs w:val="28"/>
        </w:rPr>
        <w:t xml:space="preserve"> </w:t>
      </w:r>
      <w:r w:rsidRPr="00B525A8">
        <w:rPr>
          <w:rFonts w:ascii="Times New Roman" w:hAnsi="Times New Roman" w:cs="Times New Roman"/>
          <w:sz w:val="28"/>
          <w:szCs w:val="28"/>
        </w:rPr>
        <w:t xml:space="preserve">энергии, а мнимая отражает </w:t>
      </w:r>
      <w:proofErr w:type="spellStart"/>
      <w:r w:rsidRPr="00B525A8">
        <w:rPr>
          <w:rFonts w:ascii="Times New Roman" w:hAnsi="Times New Roman" w:cs="Times New Roman"/>
          <w:sz w:val="28"/>
          <w:szCs w:val="28"/>
        </w:rPr>
        <w:t>энергонакопление</w:t>
      </w:r>
      <w:proofErr w:type="spellEnd"/>
      <w:r w:rsidRPr="00B525A8">
        <w:rPr>
          <w:rFonts w:ascii="Times New Roman" w:hAnsi="Times New Roman" w:cs="Times New Roman"/>
          <w:sz w:val="28"/>
          <w:szCs w:val="28"/>
        </w:rPr>
        <w:t xml:space="preserve"> и задержанные отклики системы.</w:t>
      </w:r>
      <w:r w:rsidRPr="00B525A8">
        <w:rPr>
          <w:rFonts w:ascii="Times New Roman" w:hAnsi="Times New Roman" w:cs="Times New Roman"/>
          <w:sz w:val="28"/>
          <w:szCs w:val="28"/>
        </w:rPr>
        <w:t xml:space="preserve"> </w:t>
      </w:r>
      <w:r w:rsidRPr="00B525A8">
        <w:rPr>
          <w:rFonts w:ascii="Times New Roman" w:hAnsi="Times New Roman" w:cs="Times New Roman"/>
          <w:sz w:val="28"/>
          <w:szCs w:val="28"/>
        </w:rPr>
        <w:t>На этой основе строятся две классические формы</w:t>
      </w:r>
      <w:r w:rsidRPr="00B525A8">
        <w:rPr>
          <w:rFonts w:ascii="Times New Roman" w:hAnsi="Times New Roman" w:cs="Times New Roman"/>
          <w:sz w:val="28"/>
          <w:szCs w:val="28"/>
        </w:rPr>
        <w:t xml:space="preserve"> </w:t>
      </w:r>
      <w:r w:rsidRPr="00B525A8">
        <w:rPr>
          <w:rFonts w:ascii="Times New Roman" w:hAnsi="Times New Roman" w:cs="Times New Roman"/>
          <w:sz w:val="28"/>
          <w:szCs w:val="28"/>
        </w:rPr>
        <w:t xml:space="preserve">представления результатов: диаграмма </w:t>
      </w:r>
      <w:r w:rsidRPr="00B525A8">
        <w:rPr>
          <w:rFonts w:ascii="Times New Roman" w:hAnsi="Times New Roman" w:cs="Times New Roman"/>
          <w:sz w:val="28"/>
          <w:szCs w:val="28"/>
        </w:rPr>
        <w:lastRenderedPageBreak/>
        <w:t>Найквиста, на которой откладываются</w:t>
      </w:r>
      <w:r w:rsidRPr="00B525A8">
        <w:rPr>
          <w:rFonts w:ascii="Times New Roman" w:hAnsi="Times New Roman" w:cs="Times New Roman"/>
          <w:sz w:val="28"/>
          <w:szCs w:val="28"/>
        </w:rPr>
        <w:t xml:space="preserve"> </w:t>
      </w:r>
      <w:r w:rsidRPr="00B525A8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sz w:val="28"/>
          <w:szCs w:val="28"/>
        </w:rPr>
        <w:t xml:space="preserve">’ и 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B525A8">
        <w:rPr>
          <w:rFonts w:ascii="Times New Roman" w:hAnsi="Times New Roman" w:cs="Times New Roman"/>
          <w:sz w:val="28"/>
          <w:szCs w:val="28"/>
        </w:rPr>
        <w:t xml:space="preserve">, </w:t>
      </w:r>
      <w:r w:rsidRPr="00B525A8">
        <w:rPr>
          <w:rFonts w:ascii="Times New Roman" w:hAnsi="Times New Roman" w:cs="Times New Roman"/>
          <w:sz w:val="28"/>
          <w:szCs w:val="28"/>
        </w:rPr>
        <w:t xml:space="preserve">и диаграмма Боде, где анализируются модуль 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Z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sz w:val="28"/>
          <w:szCs w:val="28"/>
        </w:rPr>
        <w:t xml:space="preserve"> </w:t>
      </w:r>
      <w:r w:rsidRPr="00B525A8">
        <w:rPr>
          <w:rFonts w:ascii="Times New Roman" w:hAnsi="Times New Roman" w:cs="Times New Roman"/>
          <w:sz w:val="28"/>
          <w:szCs w:val="28"/>
        </w:rPr>
        <w:t>и фазовый угол</w:t>
      </w:r>
      <w:r w:rsidRPr="00B525A8">
        <w:rPr>
          <w:rFonts w:ascii="Times New Roman" w:hAnsi="Times New Roman" w:cs="Times New Roman"/>
          <w:sz w:val="28"/>
          <w:szCs w:val="28"/>
        </w:rPr>
        <w:t xml:space="preserve"> φ </w:t>
      </w:r>
      <w:r w:rsidRPr="00B525A8">
        <w:rPr>
          <w:rFonts w:ascii="Times New Roman" w:hAnsi="Times New Roman" w:cs="Times New Roman"/>
          <w:sz w:val="28"/>
          <w:szCs w:val="28"/>
        </w:rPr>
        <w:t>как функции частоты</w:t>
      </w:r>
      <w:r w:rsidRPr="00B525A8">
        <w:rPr>
          <w:rFonts w:ascii="Times New Roman" w:hAnsi="Times New Roman" w:cs="Times New Roman"/>
          <w:sz w:val="28"/>
          <w:szCs w:val="28"/>
        </w:rPr>
        <w:t xml:space="preserve">. </w:t>
      </w:r>
      <w:r w:rsidRPr="00B525A8">
        <w:rPr>
          <w:rFonts w:ascii="Times New Roman" w:hAnsi="Times New Roman" w:cs="Times New Roman"/>
          <w:sz w:val="28"/>
          <w:szCs w:val="28"/>
        </w:rPr>
        <w:t>Современные руководства и обзоры по EIS подчёркивают, что диаграмма Найквиста удобна для</w:t>
      </w:r>
      <w:r w:rsidRPr="00B525A8">
        <w:rPr>
          <w:rFonts w:ascii="Times New Roman" w:hAnsi="Times New Roman" w:cs="Times New Roman"/>
          <w:sz w:val="28"/>
          <w:szCs w:val="28"/>
        </w:rPr>
        <w:t xml:space="preserve"> </w:t>
      </w:r>
      <w:r w:rsidRPr="00B525A8">
        <w:rPr>
          <w:rFonts w:ascii="Times New Roman" w:hAnsi="Times New Roman" w:cs="Times New Roman"/>
          <w:sz w:val="28"/>
          <w:szCs w:val="28"/>
        </w:rPr>
        <w:t xml:space="preserve">интерпретации эквивалентных схем и выделения полукругов </w:t>
      </w:r>
      <w:proofErr w:type="spellStart"/>
      <w:r w:rsidRPr="00B525A8">
        <w:rPr>
          <w:rFonts w:ascii="Times New Roman" w:hAnsi="Times New Roman" w:cs="Times New Roman"/>
          <w:sz w:val="28"/>
          <w:szCs w:val="28"/>
          <w:highlight w:val="yellow"/>
        </w:rPr>
        <w:t>зарядопереноса</w:t>
      </w:r>
      <w:proofErr w:type="spellEnd"/>
      <w:r w:rsidRPr="00B525A8">
        <w:rPr>
          <w:rFonts w:ascii="Times New Roman" w:hAnsi="Times New Roman" w:cs="Times New Roman"/>
          <w:sz w:val="28"/>
          <w:szCs w:val="28"/>
        </w:rPr>
        <w:t>, тогда как диаграмма Боде даёт более наглядное представление о частотных диапазонах доминирующих процессов.</w:t>
      </w:r>
    </w:p>
    <w:p w14:paraId="7FEE2A95" w14:textId="24EC4D81" w:rsidR="002B1D51" w:rsidRDefault="00B525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Для инженерного анализа аккумуляторных систем наиболее распространённой является эквивалентная схема </w:t>
      </w:r>
      <w:proofErr w:type="spellStart"/>
      <w:r w:rsidRPr="00B525A8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B525A8">
        <w:rPr>
          <w:rFonts w:ascii="Times New Roman" w:hAnsi="Times New Roman" w:cs="Times New Roman"/>
          <w:sz w:val="28"/>
          <w:szCs w:val="28"/>
        </w:rPr>
        <w:t xml:space="preserve"> или её модификации. В простейшем варианте схема содержит омическое сопротивление</w:t>
      </w:r>
      <w:r w:rsidRPr="00B525A8">
        <w:rPr>
          <w:rFonts w:ascii="Times New Roman" w:hAnsi="Times New Roman" w:cs="Times New Roman"/>
          <w:sz w:val="28"/>
          <w:szCs w:val="28"/>
        </w:rPr>
        <w:t xml:space="preserve">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525A8">
        <w:rPr>
          <w:rFonts w:ascii="Times New Roman" w:hAnsi="Times New Roman" w:cs="Times New Roman"/>
          <w:sz w:val="28"/>
          <w:szCs w:val="28"/>
        </w:rPr>
        <w:t xml:space="preserve">, </w:t>
      </w:r>
      <w:r w:rsidRPr="00B525A8">
        <w:rPr>
          <w:rFonts w:ascii="Times New Roman" w:hAnsi="Times New Roman" w:cs="Times New Roman"/>
          <w:sz w:val="28"/>
          <w:szCs w:val="28"/>
        </w:rPr>
        <w:t>параллельное соединение сопротивления</w:t>
      </w:r>
      <w:r w:rsidRPr="00B525A8">
        <w:rPr>
          <w:rFonts w:ascii="Times New Roman" w:hAnsi="Times New Roman" w:cs="Times New Roman"/>
          <w:sz w:val="28"/>
          <w:szCs w:val="28"/>
        </w:rPr>
        <w:t xml:space="preserve"> </w:t>
      </w:r>
      <w:r w:rsidRPr="00B525A8">
        <w:rPr>
          <w:rFonts w:ascii="Times New Roman" w:hAnsi="Times New Roman" w:cs="Times New Roman"/>
          <w:sz w:val="28"/>
          <w:szCs w:val="28"/>
        </w:rPr>
        <w:t>переноса заряда</w:t>
      </w:r>
      <w:r w:rsidRPr="00B525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525A8">
        <w:rPr>
          <w:rFonts w:ascii="Times New Roman" w:hAnsi="Times New Roman" w:cs="Times New Roman"/>
          <w:sz w:val="28"/>
          <w:szCs w:val="28"/>
        </w:rPr>
        <w:t xml:space="preserve"> </w:t>
      </w:r>
      <w:r w:rsidRPr="00B525A8">
        <w:rPr>
          <w:rFonts w:ascii="Times New Roman" w:hAnsi="Times New Roman" w:cs="Times New Roman"/>
          <w:sz w:val="28"/>
          <w:szCs w:val="28"/>
        </w:rPr>
        <w:t>и ёмкости двойного электрического слоя</w:t>
      </w:r>
      <w:r w:rsidRPr="00B525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B525A8">
        <w:rPr>
          <w:rFonts w:ascii="Times New Roman" w:hAnsi="Times New Roman" w:cs="Times New Roman"/>
          <w:sz w:val="28"/>
          <w:szCs w:val="28"/>
        </w:rPr>
        <w:t xml:space="preserve">, </w:t>
      </w:r>
      <w:r w:rsidRPr="00B525A8">
        <w:rPr>
          <w:rFonts w:ascii="Times New Roman" w:hAnsi="Times New Roman" w:cs="Times New Roman"/>
          <w:sz w:val="28"/>
          <w:szCs w:val="28"/>
        </w:rPr>
        <w:t>а также диффузионный элемент Варбурга</w:t>
      </w:r>
      <w:r w:rsidRPr="00B525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proofErr w:type="spellEnd"/>
      <w:r w:rsidRPr="00B525A8">
        <w:rPr>
          <w:rFonts w:ascii="Times New Roman" w:hAnsi="Times New Roman" w:cs="Times New Roman"/>
          <w:sz w:val="28"/>
          <w:szCs w:val="28"/>
        </w:rPr>
        <w:t xml:space="preserve">. </w:t>
      </w:r>
      <w:r w:rsidR="00C7323B" w:rsidRPr="00C7323B">
        <w:rPr>
          <w:rFonts w:ascii="Times New Roman" w:hAnsi="Times New Roman" w:cs="Times New Roman"/>
          <w:sz w:val="28"/>
          <w:szCs w:val="28"/>
        </w:rPr>
        <w:t>Такая схема используется не потому, что полностью воспроизводит реальную пространственно-распределённую электрохимию, а потому, что позволяет свести сложный спектр к набору параметров с физически интерпретируемым смыслом.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 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В современных работах по </w:t>
      </w:r>
      <w:proofErr w:type="spellStart"/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 xml:space="preserve"> EIS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 подчёркивается, что корректная эквивалентная схема должна строиться из понимания физики системы, а не только из удобства </w:t>
      </w:r>
      <w:proofErr w:type="spellStart"/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curve</w:t>
      </w:r>
      <w:proofErr w:type="spellEnd"/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proofErr w:type="spellEnd"/>
      <w:r w:rsidR="00C7323B" w:rsidRPr="00C7323B">
        <w:rPr>
          <w:rFonts w:ascii="Times New Roman" w:hAnsi="Times New Roman" w:cs="Times New Roman"/>
          <w:sz w:val="28"/>
          <w:szCs w:val="28"/>
        </w:rPr>
        <w:t>.</w:t>
      </w:r>
    </w:p>
    <w:p w14:paraId="2044EAA1" w14:textId="2DB2305F" w:rsidR="00C7323B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83912">
        <w:rPr>
          <w:rFonts w:ascii="Times New Roman" w:hAnsi="Times New Roman" w:cs="Times New Roman"/>
          <w:sz w:val="28"/>
          <w:szCs w:val="28"/>
        </w:rPr>
        <w:t xml:space="preserve">Для последующего анализа в диссертации в качестве базовой используется эквивалентная схема, включающая омическое сопротивление, ветвь </w:t>
      </w:r>
      <w:proofErr w:type="spellStart"/>
      <w:r w:rsidRPr="00A83912">
        <w:rPr>
          <w:rFonts w:ascii="Times New Roman" w:hAnsi="Times New Roman" w:cs="Times New Roman"/>
          <w:sz w:val="28"/>
          <w:szCs w:val="28"/>
        </w:rPr>
        <w:t>зарядопереноса</w:t>
      </w:r>
      <w:proofErr w:type="spellEnd"/>
      <w:r w:rsidRPr="00A83912">
        <w:rPr>
          <w:rFonts w:ascii="Times New Roman" w:hAnsi="Times New Roman" w:cs="Times New Roman"/>
          <w:sz w:val="28"/>
          <w:szCs w:val="28"/>
        </w:rPr>
        <w:t xml:space="preserve"> и ёмкости двойного слоя, а также диффузионный элемент Варбурга. Именно она образует минимально достаточный набор параметров, позволяющий связать измеряемый спектр с </w:t>
      </w:r>
      <w:proofErr w:type="spellStart"/>
      <w:r w:rsidRPr="00A83912">
        <w:rPr>
          <w:rFonts w:ascii="Times New Roman" w:hAnsi="Times New Roman" w:cs="Times New Roman"/>
          <w:sz w:val="28"/>
          <w:szCs w:val="28"/>
        </w:rPr>
        <w:t>деградационными</w:t>
      </w:r>
      <w:proofErr w:type="spellEnd"/>
      <w:r w:rsidRPr="00A83912">
        <w:rPr>
          <w:rFonts w:ascii="Times New Roman" w:hAnsi="Times New Roman" w:cs="Times New Roman"/>
          <w:sz w:val="28"/>
          <w:szCs w:val="28"/>
        </w:rPr>
        <w:t xml:space="preserve"> процессами в батарее.</w:t>
      </w:r>
    </w:p>
    <w:p w14:paraId="51B7166C" w14:textId="77777777" w:rsidR="00A83912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C1A09C" w14:textId="52FE4BC4" w:rsidR="00A83912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873A2FB" wp14:editId="5D3DABD3">
            <wp:extent cx="6119495" cy="2041525"/>
            <wp:effectExtent l="0" t="0" r="0" b="0"/>
            <wp:docPr id="1646864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2DAB7" w14:textId="7E32D62A" w:rsidR="00FA5E0A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5E0A">
        <w:rPr>
          <w:rFonts w:ascii="Times New Roman" w:hAnsi="Times New Roman" w:cs="Times New Roman"/>
          <w:sz w:val="28"/>
          <w:szCs w:val="28"/>
        </w:rPr>
        <w:t>Рисунок 1.11 — Эквивалентная схема импедансной модели тяговой аккумуляторной батареи</w:t>
      </w:r>
    </w:p>
    <w:p w14:paraId="73BE14A8" w14:textId="77777777" w:rsidR="00FA5E0A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1791594" w14:textId="6D699082" w:rsidR="00FA5E0A" w:rsidRDefault="00B4726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726D">
        <w:rPr>
          <w:rFonts w:ascii="Times New Roman" w:hAnsi="Times New Roman" w:cs="Times New Roman"/>
          <w:sz w:val="28"/>
          <w:szCs w:val="28"/>
        </w:rPr>
        <w:t>На рисунке представлена базовая эквивалентная схема, состоящая из омического сопротивления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, </w:t>
      </w:r>
      <w:r w:rsidRPr="00B4726D">
        <w:rPr>
          <w:rFonts w:ascii="Times New Roman" w:hAnsi="Times New Roman" w:cs="Times New Roman"/>
          <w:sz w:val="28"/>
          <w:szCs w:val="28"/>
        </w:rPr>
        <w:t>параллельной ветви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4726D">
        <w:rPr>
          <w:rFonts w:ascii="Times New Roman" w:hAnsi="Times New Roman" w:cs="Times New Roman"/>
          <w:i/>
          <w:iCs/>
          <w:sz w:val="28"/>
          <w:szCs w:val="28"/>
        </w:rPr>
        <w:t>-</w:t>
      </w:r>
      <w:proofErr w:type="spellStart"/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sz w:val="28"/>
          <w:szCs w:val="28"/>
        </w:rPr>
        <w:t>диффузионного элемента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proofErr w:type="spellEnd"/>
      <w:r w:rsidRPr="00B4726D">
        <w:rPr>
          <w:rFonts w:ascii="Times New Roman" w:hAnsi="Times New Roman" w:cs="Times New Roman"/>
          <w:sz w:val="28"/>
          <w:szCs w:val="28"/>
        </w:rPr>
        <w:t xml:space="preserve">. </w:t>
      </w:r>
      <w:r w:rsidRPr="00B4726D">
        <w:rPr>
          <w:rFonts w:ascii="Times New Roman" w:hAnsi="Times New Roman" w:cs="Times New Roman"/>
          <w:sz w:val="28"/>
          <w:szCs w:val="28"/>
        </w:rPr>
        <w:t>Параметр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4726D">
        <w:rPr>
          <w:rFonts w:ascii="Times New Roman" w:hAnsi="Times New Roman" w:cs="Times New Roman"/>
          <w:sz w:val="28"/>
          <w:szCs w:val="28"/>
        </w:rPr>
        <w:t>тражает проводимость электролита, токосъёмников и контактных соединений.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sz w:val="28"/>
          <w:szCs w:val="28"/>
        </w:rPr>
        <w:t>Параметр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sz w:val="28"/>
          <w:szCs w:val="28"/>
        </w:rPr>
        <w:t>соответствует кинетическим ограничениям межфазной реакции.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sz w:val="28"/>
          <w:szCs w:val="28"/>
        </w:rPr>
        <w:t>Ёмкость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sz w:val="28"/>
          <w:szCs w:val="28"/>
        </w:rPr>
        <w:t>описывает накопление заряда в двойном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sz w:val="28"/>
          <w:szCs w:val="28"/>
        </w:rPr>
        <w:t>электрическом слое на границе электрод–электролит.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sz w:val="28"/>
          <w:szCs w:val="28"/>
        </w:rPr>
        <w:t>Элемент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proofErr w:type="spellEnd"/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sz w:val="28"/>
          <w:szCs w:val="28"/>
        </w:rPr>
        <w:t>отражает диффузионные ограничения массопереноса в твёрдой фазе и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sz w:val="28"/>
          <w:szCs w:val="28"/>
        </w:rPr>
        <w:t>электролите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CE3EAC" w14:textId="350BAA8C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фиксирует физико-математический каркас будущей параметрической идентификации. Практическая ценность состоит в возможности перехода от сложного спектра к конечному набору параметров, пригодному для диагностики состояния и прогноза ресурса в составе BMS.</w:t>
      </w:r>
    </w:p>
    <w:p w14:paraId="1B5DC2FC" w14:textId="45AE1C7E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Для указанной схемы общий импеданс может быть записан как</w:t>
      </w:r>
    </w:p>
    <w:p w14:paraId="7B9E566A" w14:textId="77777777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2CAA6A" w14:textId="18F38BF7" w:rsidR="004A5C3A" w:rsidRP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position w:val="-30"/>
          <w:sz w:val="28"/>
          <w:szCs w:val="28"/>
        </w:rPr>
        <w:object w:dxaOrig="3340" w:dyaOrig="680" w14:anchorId="4C2B4A80">
          <v:shape id="_x0000_i1085" type="#_x0000_t75" style="width:167.1pt;height:33.95pt" o:ole="">
            <v:imagedata r:id="rId109" o:title=""/>
          </v:shape>
          <o:OLEObject Type="Embed" ProgID="Equation.DSMT4" ShapeID="_x0000_i1085" DrawAspect="Content" ObjectID="_1835778510" r:id="rId110"/>
        </w:object>
      </w:r>
    </w:p>
    <w:p w14:paraId="79030E21" w14:textId="0C53019E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sz w:val="28"/>
          <w:szCs w:val="28"/>
        </w:rPr>
        <w:lastRenderedPageBreak/>
        <w:t>Первое слагаемое представляет собой чисто резистивный вклад, второе получается из правила расчёта параллельного соединения сопротивления и ёмкости, третье отражает диффузионный отклик. Если считать диффузию полуограниченной, то классический импеданс Варбурга имеет вид</w:t>
      </w:r>
    </w:p>
    <w:p w14:paraId="4C759CEA" w14:textId="77777777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39C6FF" w14:textId="069EE031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420" w:dyaOrig="700" w14:anchorId="137DCC1A">
          <v:shape id="_x0000_i1088" type="#_x0000_t75" style="width:71.3pt;height:35.3pt" o:ole="">
            <v:imagedata r:id="rId111" o:title=""/>
          </v:shape>
          <o:OLEObject Type="Embed" ProgID="Equation.DSMT4" ShapeID="_x0000_i1088" DrawAspect="Content" ObjectID="_1835778511" r:id="rId112"/>
        </w:object>
      </w:r>
    </w:p>
    <w:p w14:paraId="33594DF9" w14:textId="041118F6" w:rsidR="007431E4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σ – </w:t>
      </w:r>
      <w:r w:rsidRPr="007431E4"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7098E8D7" w14:textId="7A5C795F" w:rsidR="004A5C3A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E4">
        <w:rPr>
          <w:rFonts w:ascii="Times New Roman" w:hAnsi="Times New Roman" w:cs="Times New Roman"/>
          <w:sz w:val="28"/>
          <w:szCs w:val="28"/>
        </w:rPr>
        <w:t xml:space="preserve">Происхождение этой формулы связано с решением второго закона </w:t>
      </w:r>
      <w:proofErr w:type="spellStart"/>
      <w:r w:rsidRPr="007431E4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7431E4">
        <w:rPr>
          <w:rFonts w:ascii="Times New Roman" w:hAnsi="Times New Roman" w:cs="Times New Roman"/>
          <w:sz w:val="28"/>
          <w:szCs w:val="28"/>
        </w:rPr>
        <w:t xml:space="preserve"> для гармонического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>возмущения концентрации на границе раздела.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 xml:space="preserve">В критических обзорах последних лет специально подчёркивается, что </w:t>
      </w:r>
      <w:r w:rsidRPr="007431E4">
        <w:rPr>
          <w:rFonts w:ascii="Times New Roman" w:hAnsi="Times New Roman" w:cs="Times New Roman"/>
          <w:sz w:val="28"/>
          <w:szCs w:val="28"/>
          <w:highlight w:val="yellow"/>
        </w:rPr>
        <w:t>использование Варбурга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требует осторожности: необходимо различать полуограниченную, </w:t>
      </w:r>
      <w:proofErr w:type="spellStart"/>
      <w:r w:rsidRPr="007431E4">
        <w:rPr>
          <w:rFonts w:ascii="Times New Roman" w:hAnsi="Times New Roman" w:cs="Times New Roman"/>
          <w:sz w:val="28"/>
          <w:szCs w:val="28"/>
        </w:rPr>
        <w:t>конечнопространственную</w:t>
      </w:r>
      <w:proofErr w:type="spellEnd"/>
      <w:r w:rsidRPr="007431E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431E4">
        <w:rPr>
          <w:rFonts w:ascii="Times New Roman" w:hAnsi="Times New Roman" w:cs="Times New Roman"/>
          <w:sz w:val="28"/>
          <w:szCs w:val="28"/>
        </w:rPr>
        <w:t>конечнодлиновую</w:t>
      </w:r>
      <w:proofErr w:type="spellEnd"/>
      <w:r w:rsidRPr="007431E4">
        <w:rPr>
          <w:rFonts w:ascii="Times New Roman" w:hAnsi="Times New Roman" w:cs="Times New Roman"/>
          <w:sz w:val="28"/>
          <w:szCs w:val="28"/>
        </w:rPr>
        <w:t xml:space="preserve"> диффузию, поскольку неправильный выбор диффузионной модели может привести к ошибочной физической интерпретации параметров.</w:t>
      </w:r>
    </w:p>
    <w:p w14:paraId="1F777920" w14:textId="719B21C7" w:rsidR="007431E4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>На высоких частотах вклад ёмкости и диффузии становится малым, поэтому спектр стремится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3A">
        <w:rPr>
          <w:rFonts w:ascii="Times New Roman" w:hAnsi="Times New Roman" w:cs="Times New Roman"/>
          <w:sz w:val="28"/>
          <w:szCs w:val="28"/>
        </w:rPr>
        <w:t xml:space="preserve">В среднечастотной области формируется полукруг, связанный с </w:t>
      </w:r>
      <w:proofErr w:type="spellStart"/>
      <w:r w:rsidRPr="00B33E3A">
        <w:rPr>
          <w:rFonts w:ascii="Times New Roman" w:hAnsi="Times New Roman" w:cs="Times New Roman"/>
          <w:sz w:val="28"/>
          <w:szCs w:val="28"/>
        </w:rPr>
        <w:t>зарядопереносом</w:t>
      </w:r>
      <w:proofErr w:type="spellEnd"/>
      <w:r w:rsidRPr="00B33E3A">
        <w:rPr>
          <w:rFonts w:ascii="Times New Roman" w:hAnsi="Times New Roman" w:cs="Times New Roman"/>
          <w:sz w:val="28"/>
          <w:szCs w:val="28"/>
        </w:rPr>
        <w:t xml:space="preserve"> и ёмкостью двойного слоя. В низкочастотной области начинает доминировать диффузионная составляющая. Именно это разбиение частотного спектра на зоны делает EIS особенно удобным методом: разные механизмы старения могут быть локализованы по частотной области. Современные обзоры по EIS для батарей подчёркивают, что эта частотная селективность является одним из главных преимуществ метода по сравнению с интегральными </w:t>
      </w:r>
      <w:r w:rsidRPr="00B33E3A">
        <w:rPr>
          <w:rFonts w:ascii="Times New Roman" w:hAnsi="Times New Roman" w:cs="Times New Roman"/>
          <w:sz w:val="28"/>
          <w:szCs w:val="28"/>
          <w:highlight w:val="yellow"/>
        </w:rPr>
        <w:t>DC-подходами.</w:t>
      </w:r>
    </w:p>
    <w:p w14:paraId="2EA505A5" w14:textId="72F064CA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 xml:space="preserve">Диаграмма Найквиста позволяет непосредственно увидеть омическую точку пересечения, полукруг </w:t>
      </w:r>
      <w:proofErr w:type="spellStart"/>
      <w:r w:rsidRPr="00B33E3A">
        <w:rPr>
          <w:rFonts w:ascii="Times New Roman" w:hAnsi="Times New Roman" w:cs="Times New Roman"/>
          <w:sz w:val="28"/>
          <w:szCs w:val="28"/>
        </w:rPr>
        <w:t>зарядопереноса</w:t>
      </w:r>
      <w:proofErr w:type="spellEnd"/>
      <w:r w:rsidRPr="00B33E3A">
        <w:rPr>
          <w:rFonts w:ascii="Times New Roman" w:hAnsi="Times New Roman" w:cs="Times New Roman"/>
          <w:sz w:val="28"/>
          <w:szCs w:val="28"/>
        </w:rPr>
        <w:t xml:space="preserve"> и низкочастотную диффузионную область. Поэтому именно она традиционно используется как первичный </w:t>
      </w:r>
      <w:r w:rsidRPr="00B33E3A">
        <w:rPr>
          <w:rFonts w:ascii="Times New Roman" w:hAnsi="Times New Roman" w:cs="Times New Roman"/>
          <w:sz w:val="28"/>
          <w:szCs w:val="28"/>
        </w:rPr>
        <w:lastRenderedPageBreak/>
        <w:t>графический носитель EIS-информации в работах по аккумуляторной диагностике.</w:t>
      </w:r>
    </w:p>
    <w:p w14:paraId="133E01DA" w14:textId="77777777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90E9AB" w14:textId="027ED9C3" w:rsidR="00B33E3A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EF3E0B" wp14:editId="6823D8B5">
            <wp:extent cx="6119495" cy="5132705"/>
            <wp:effectExtent l="0" t="0" r="0" b="0"/>
            <wp:docPr id="11843360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13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E303B36" w14:textId="5F71F413" w:rsidR="00156A70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4526">
        <w:rPr>
          <w:rFonts w:ascii="Times New Roman" w:hAnsi="Times New Roman" w:cs="Times New Roman"/>
          <w:sz w:val="28"/>
          <w:szCs w:val="28"/>
        </w:rPr>
        <w:t>Рисунок 1.12 — Диаграмма Найквиста опытной тяговой батареи</w:t>
      </w:r>
    </w:p>
    <w:p w14:paraId="77A92E59" w14:textId="77777777" w:rsidR="00094526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10D8E" w14:textId="762A1598" w:rsidR="00094526" w:rsidRDefault="00475DF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5DF7">
        <w:rPr>
          <w:rFonts w:ascii="Times New Roman" w:hAnsi="Times New Roman" w:cs="Times New Roman"/>
          <w:sz w:val="28"/>
          <w:szCs w:val="28"/>
        </w:rPr>
        <w:t>На рисунке показана типичная диаграмма Найквиста. Первая точка пересечения с осью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</w:t>
      </w:r>
      <w:r w:rsidRPr="00475D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75DF7">
        <w:rPr>
          <w:rFonts w:ascii="Times New Roman" w:hAnsi="Times New Roman" w:cs="Times New Roman"/>
          <w:sz w:val="28"/>
          <w:szCs w:val="28"/>
        </w:rPr>
        <w:t xml:space="preserve">) </w:t>
      </w:r>
      <w:r w:rsidRPr="00475DF7">
        <w:rPr>
          <w:rFonts w:ascii="Times New Roman" w:hAnsi="Times New Roman" w:cs="Times New Roman"/>
          <w:sz w:val="28"/>
          <w:szCs w:val="28"/>
        </w:rPr>
        <w:t>соответствует высокочастотному</w:t>
      </w:r>
      <w:r w:rsidRPr="00475DF7">
        <w:rPr>
          <w:rFonts w:ascii="Times New Roman" w:hAnsi="Times New Roman" w:cs="Times New Roman"/>
          <w:sz w:val="28"/>
          <w:szCs w:val="28"/>
        </w:rPr>
        <w:t xml:space="preserve"> </w:t>
      </w:r>
      <w:r w:rsidRPr="00475DF7">
        <w:rPr>
          <w:rFonts w:ascii="Times New Roman" w:hAnsi="Times New Roman" w:cs="Times New Roman"/>
          <w:sz w:val="28"/>
          <w:szCs w:val="28"/>
        </w:rPr>
        <w:t>омическому сопротивлению</w:t>
      </w:r>
      <w:r w:rsidRPr="00475DF7"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475DF7">
        <w:rPr>
          <w:rFonts w:ascii="Times New Roman" w:hAnsi="Times New Roman" w:cs="Times New Roman"/>
          <w:sz w:val="28"/>
          <w:szCs w:val="28"/>
        </w:rPr>
        <w:t xml:space="preserve">. </w:t>
      </w:r>
      <w:r w:rsidRPr="00475DF7">
        <w:rPr>
          <w:rFonts w:ascii="Times New Roman" w:hAnsi="Times New Roman" w:cs="Times New Roman"/>
          <w:sz w:val="28"/>
          <w:szCs w:val="28"/>
        </w:rPr>
        <w:t>Полукруг в средней частотной области отражает совместное действие сопротивления переноса заряда и</w:t>
      </w:r>
      <w:r w:rsidRPr="00475DF7">
        <w:rPr>
          <w:rFonts w:ascii="Times New Roman" w:hAnsi="Times New Roman" w:cs="Times New Roman"/>
          <w:sz w:val="28"/>
          <w:szCs w:val="28"/>
        </w:rPr>
        <w:t xml:space="preserve"> </w:t>
      </w:r>
      <w:r w:rsidRPr="00475DF7">
        <w:rPr>
          <w:rFonts w:ascii="Times New Roman" w:hAnsi="Times New Roman" w:cs="Times New Roman"/>
          <w:sz w:val="28"/>
          <w:szCs w:val="28"/>
        </w:rPr>
        <w:t>ёмкости двойного электрического слоя.</w:t>
      </w:r>
      <w:r w:rsidRPr="00475DF7">
        <w:rPr>
          <w:rFonts w:ascii="Times New Roman" w:hAnsi="Times New Roman" w:cs="Times New Roman"/>
          <w:sz w:val="28"/>
          <w:szCs w:val="28"/>
        </w:rPr>
        <w:t xml:space="preserve"> </w:t>
      </w:r>
      <w:r w:rsidRPr="00475DF7">
        <w:rPr>
          <w:rFonts w:ascii="Times New Roman" w:hAnsi="Times New Roman" w:cs="Times New Roman"/>
          <w:sz w:val="28"/>
          <w:szCs w:val="28"/>
        </w:rPr>
        <w:t>Наклонный участок на низких частотах соответствует диффузионной области и связан с ограничениями массопереноса.</w:t>
      </w:r>
    </w:p>
    <w:p w14:paraId="25CA024F" w14:textId="3A95503E" w:rsid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73537">
        <w:rPr>
          <w:rFonts w:ascii="Times New Roman" w:hAnsi="Times New Roman" w:cs="Times New Roman"/>
          <w:sz w:val="28"/>
          <w:szCs w:val="28"/>
        </w:rPr>
        <w:lastRenderedPageBreak/>
        <w:t>Научная ценность рисунка состоит в том, что он позволяет на одном графике локализовать основные физические механизмы, формирующие спектр аккумулятора. Практическая польза рисунка заключается в возможности визуальной и количественной оценки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 w:rsidRPr="00573537">
        <w:rPr>
          <w:rFonts w:ascii="Times New Roman" w:hAnsi="Times New Roman" w:cs="Times New Roman"/>
          <w:sz w:val="28"/>
          <w:szCs w:val="28"/>
        </w:rPr>
        <w:t>параметров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 w:rsidRPr="00573537">
        <w:rPr>
          <w:rFonts w:ascii="Times New Roman" w:hAnsi="Times New Roman" w:cs="Times New Roman"/>
          <w:sz w:val="28"/>
          <w:szCs w:val="28"/>
        </w:rPr>
        <w:t xml:space="preserve">и диффузионного вклада без проведения полного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ресурсного цикла</w:t>
      </w:r>
      <w:r w:rsidRPr="00573537">
        <w:rPr>
          <w:rFonts w:ascii="Times New Roman" w:hAnsi="Times New Roman" w:cs="Times New Roman"/>
          <w:sz w:val="28"/>
          <w:szCs w:val="28"/>
        </w:rPr>
        <w:t>.</w:t>
      </w:r>
    </w:p>
    <w:p w14:paraId="282855AE" w14:textId="39CBE5E9" w:rsid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Для более детального частотного анализа используется диаграмма Боде. Она особенно важна в тех случаях, когда необходимо выбрать ограниченный набор диагностических частот для экспресс-измерений. Современные исследования, включая работы по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automotive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, указывают, что именно анализ распределения информативности по частоте открывает путь к сокращённым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onboard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- и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near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onboard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-методам</w:t>
      </w:r>
      <w:r w:rsidRPr="00573537">
        <w:rPr>
          <w:rFonts w:ascii="Times New Roman" w:hAnsi="Times New Roman" w:cs="Times New Roman"/>
          <w:sz w:val="28"/>
          <w:szCs w:val="28"/>
        </w:rPr>
        <w:t xml:space="preserve">. При этом одной из центральных современных задач остаётся перенос EIS из стационарной лабораторной среды к динамическим режимам измерения. Обзор по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electrochemical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impedance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spectroscopy</w:t>
      </w:r>
      <w:proofErr w:type="spellEnd"/>
      <w:r w:rsidRPr="00573537">
        <w:rPr>
          <w:rFonts w:ascii="Times New Roman" w:hAnsi="Times New Roman" w:cs="Times New Roman"/>
          <w:sz w:val="28"/>
          <w:szCs w:val="28"/>
        </w:rPr>
        <w:t xml:space="preserve"> подчёркивает, что развитие DEIS непосредственно связано с задачами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state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monitoring</w:t>
      </w:r>
      <w:proofErr w:type="spellEnd"/>
      <w:r w:rsidRPr="00573537">
        <w:rPr>
          <w:rFonts w:ascii="Times New Roman" w:hAnsi="Times New Roman" w:cs="Times New Roman"/>
          <w:sz w:val="28"/>
          <w:szCs w:val="28"/>
        </w:rPr>
        <w:t xml:space="preserve"> и быстрых диагностических оценок при меняющихся рабочих режимах.</w:t>
      </w:r>
    </w:p>
    <w:p w14:paraId="3866BD44" w14:textId="5F0D6AF7" w:rsidR="00573537" w:rsidRP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Диаграмма Боде позволяет разделить частотные области омического отклика, </w:t>
      </w:r>
      <w:proofErr w:type="spellStart"/>
      <w:r w:rsidRPr="00573537">
        <w:rPr>
          <w:rFonts w:ascii="Times New Roman" w:hAnsi="Times New Roman" w:cs="Times New Roman"/>
          <w:sz w:val="28"/>
          <w:szCs w:val="28"/>
        </w:rPr>
        <w:t>зарядопереноса</w:t>
      </w:r>
      <w:proofErr w:type="spellEnd"/>
      <w:r w:rsidRPr="00573537">
        <w:rPr>
          <w:rFonts w:ascii="Times New Roman" w:hAnsi="Times New Roman" w:cs="Times New Roman"/>
          <w:sz w:val="28"/>
          <w:szCs w:val="28"/>
        </w:rPr>
        <w:t xml:space="preserve"> и диффузии значительно более явно, чем диаграмма Найквиста. В задачах дальнейшей диссертации это особенно важно, поскольку именно по диаграмме Боде выбираются частоты для сокращённого диагностического протокола.</w:t>
      </w:r>
    </w:p>
    <w:p w14:paraId="37765797" w14:textId="77777777" w:rsidR="00D567B3" w:rsidRPr="00573537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D1F860" w14:textId="6A325144" w:rsidR="00D567B3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64881A" wp14:editId="4CF4D889">
            <wp:extent cx="6119495" cy="3902075"/>
            <wp:effectExtent l="0" t="0" r="0" b="3175"/>
            <wp:docPr id="20328378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90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9F98F" w14:textId="40A02C0A" w:rsidR="00223448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23448">
        <w:rPr>
          <w:rFonts w:ascii="Times New Roman" w:hAnsi="Times New Roman" w:cs="Times New Roman"/>
          <w:sz w:val="28"/>
          <w:szCs w:val="28"/>
        </w:rPr>
        <w:t>Рисунок 1.13 — Диаграмма Боде опытной тяговой батареи</w:t>
      </w:r>
    </w:p>
    <w:p w14:paraId="60EF89F7" w14:textId="77777777" w:rsidR="00223448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5EBD83" w14:textId="54ADEC78" w:rsidR="00223448" w:rsidRDefault="002648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64837">
        <w:rPr>
          <w:rFonts w:ascii="Times New Roman" w:hAnsi="Times New Roman" w:cs="Times New Roman"/>
          <w:sz w:val="28"/>
          <w:szCs w:val="28"/>
        </w:rPr>
        <w:t>На рисунке приведены зависимости модуля импеданса и фазового угла от частоты. В высокочастотной области модуль импеданса приближается к</w:t>
      </w:r>
      <w:r w:rsidRPr="00264837"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64837">
        <w:rPr>
          <w:rFonts w:ascii="Times New Roman" w:hAnsi="Times New Roman" w:cs="Times New Roman"/>
          <w:sz w:val="28"/>
          <w:szCs w:val="28"/>
        </w:rPr>
        <w:t xml:space="preserve">, </w:t>
      </w:r>
      <w:r w:rsidRPr="00264837">
        <w:rPr>
          <w:rFonts w:ascii="Times New Roman" w:hAnsi="Times New Roman" w:cs="Times New Roman"/>
          <w:sz w:val="28"/>
          <w:szCs w:val="28"/>
        </w:rPr>
        <w:t>а фазовый угол близок к нулю, что соответствует преимущественно резистивному поведению. В среднечастотной</w:t>
      </w:r>
      <w:r w:rsidRPr="00264837">
        <w:rPr>
          <w:rFonts w:ascii="Times New Roman" w:hAnsi="Times New Roman" w:cs="Times New Roman"/>
          <w:sz w:val="28"/>
          <w:szCs w:val="28"/>
        </w:rPr>
        <w:t xml:space="preserve"> </w:t>
      </w:r>
      <w:r w:rsidRPr="00264837">
        <w:rPr>
          <w:rFonts w:ascii="Times New Roman" w:hAnsi="Times New Roman" w:cs="Times New Roman"/>
          <w:sz w:val="28"/>
          <w:szCs w:val="28"/>
        </w:rPr>
        <w:t>зоне наблюдается выраженный фазовый сдвиг, связанный с межфазным переносом заряда и ёмкостью двойного слоя. В низкочастотной области модуль импеданса возрастает, а фазовый отклик смещается в сторону диффузионного режима.</w:t>
      </w:r>
    </w:p>
    <w:p w14:paraId="4480ED5E" w14:textId="50A168EA" w:rsidR="00264837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E291A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 частотную локализацию доминирующих процессов и тем самым создаёт основу для выделения информативных спектральных признаков. Практическая польза заключается в возможности выбора ограниченного набора частот для экспресс-диагностики батареи без необходимости полного широкополосного сканирования.</w:t>
      </w:r>
    </w:p>
    <w:p w14:paraId="4F868F15" w14:textId="77777777" w:rsidR="00CE291A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C26930E" w14:textId="7EF30851" w:rsidR="00CE291A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E291A">
        <w:rPr>
          <w:rFonts w:ascii="Times New Roman" w:hAnsi="Times New Roman" w:cs="Times New Roman"/>
          <w:sz w:val="28"/>
          <w:szCs w:val="28"/>
        </w:rPr>
        <w:t>Таблица 1.5</w:t>
      </w:r>
      <w:r w:rsidRPr="00CE291A">
        <w:rPr>
          <w:rFonts w:ascii="Times New Roman" w:hAnsi="Times New Roman" w:cs="Times New Roman"/>
          <w:sz w:val="28"/>
          <w:szCs w:val="28"/>
        </w:rPr>
        <w:t xml:space="preserve"> – </w:t>
      </w:r>
      <w:r w:rsidRPr="00CE291A">
        <w:rPr>
          <w:rFonts w:ascii="Times New Roman" w:hAnsi="Times New Roman" w:cs="Times New Roman"/>
          <w:sz w:val="28"/>
          <w:szCs w:val="28"/>
        </w:rPr>
        <w:t>Физическая интерпретация основных элементов EIS-спектра аккумуляторной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56EC4" w14:paraId="556ED999" w14:textId="77777777" w:rsidTr="00156EC4">
        <w:tc>
          <w:tcPr>
            <w:tcW w:w="2406" w:type="dxa"/>
          </w:tcPr>
          <w:p w14:paraId="0F6DD168" w14:textId="3B84D059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Частотная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область</w:t>
            </w:r>
          </w:p>
        </w:tc>
        <w:tc>
          <w:tcPr>
            <w:tcW w:w="2407" w:type="dxa"/>
          </w:tcPr>
          <w:p w14:paraId="0307391C" w14:textId="7F087B79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Доминирующий процесс</w:t>
            </w:r>
          </w:p>
        </w:tc>
        <w:tc>
          <w:tcPr>
            <w:tcW w:w="2407" w:type="dxa"/>
          </w:tcPr>
          <w:p w14:paraId="47268EBC" w14:textId="5CF9B322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Основной параметр</w:t>
            </w:r>
          </w:p>
        </w:tc>
        <w:tc>
          <w:tcPr>
            <w:tcW w:w="2407" w:type="dxa"/>
          </w:tcPr>
          <w:p w14:paraId="2D3E988B" w14:textId="7DE39D7B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Диагностическое значение</w:t>
            </w:r>
          </w:p>
        </w:tc>
      </w:tr>
      <w:tr w:rsidR="00156EC4" w:rsidRPr="00156EC4" w14:paraId="36B9EC87" w14:textId="77777777" w:rsidTr="00156EC4">
        <w:tc>
          <w:tcPr>
            <w:tcW w:w="2406" w:type="dxa"/>
          </w:tcPr>
          <w:p w14:paraId="189E98E7" w14:textId="6CF640EA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2407" w:type="dxa"/>
          </w:tcPr>
          <w:p w14:paraId="175C92FD" w14:textId="38F8486B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Омическая проводимость токосъёмников, электролита и контактов</w:t>
            </w:r>
          </w:p>
        </w:tc>
        <w:tc>
          <w:tcPr>
            <w:tcW w:w="2407" w:type="dxa"/>
          </w:tcPr>
          <w:p w14:paraId="557FA8CF" w14:textId="18A8F15C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1D7BF02F" w14:textId="330D312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Контроль контактных и электролитных потерь</w:t>
            </w:r>
          </w:p>
        </w:tc>
      </w:tr>
      <w:tr w:rsidR="00156EC4" w:rsidRPr="00156EC4" w14:paraId="60BA4B10" w14:textId="77777777" w:rsidTr="00156EC4">
        <w:tc>
          <w:tcPr>
            <w:tcW w:w="2406" w:type="dxa"/>
          </w:tcPr>
          <w:p w14:paraId="15B3CC64" w14:textId="737BECB8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2407" w:type="dxa"/>
          </w:tcPr>
          <w:p w14:paraId="2DB4C789" w14:textId="30015631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Перенос заряда через интерфейс электрод электролит</w:t>
            </w:r>
          </w:p>
        </w:tc>
        <w:tc>
          <w:tcPr>
            <w:tcW w:w="2407" w:type="dxa"/>
          </w:tcPr>
          <w:p w14:paraId="0B5796E2" w14:textId="0787E433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  <w:proofErr w:type="spellEnd"/>
          </w:p>
        </w:tc>
        <w:tc>
          <w:tcPr>
            <w:tcW w:w="2407" w:type="dxa"/>
          </w:tcPr>
          <w:p w14:paraId="3A4413D9" w14:textId="67D0DD8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чувствительная область для ранней деградации</w:t>
            </w:r>
          </w:p>
        </w:tc>
      </w:tr>
      <w:tr w:rsidR="00156EC4" w:rsidRPr="00156EC4" w14:paraId="18A39681" w14:textId="77777777" w:rsidTr="00156EC4">
        <w:tc>
          <w:tcPr>
            <w:tcW w:w="2406" w:type="dxa"/>
          </w:tcPr>
          <w:p w14:paraId="65DE9FD8" w14:textId="34839F7F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2407" w:type="dxa"/>
          </w:tcPr>
          <w:p w14:paraId="28A7050D" w14:textId="2B357A15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Диффузионный перенос в твёрдой фазе и электролите</w:t>
            </w:r>
          </w:p>
        </w:tc>
        <w:tc>
          <w:tcPr>
            <w:tcW w:w="2407" w:type="dxa"/>
          </w:tcPr>
          <w:p w14:paraId="2A79868F" w14:textId="29F2A209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w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σ</w:t>
            </w:r>
          </w:p>
        </w:tc>
        <w:tc>
          <w:tcPr>
            <w:tcW w:w="2407" w:type="dxa"/>
          </w:tcPr>
          <w:p w14:paraId="132BF6B1" w14:textId="1D48FD29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Оценка ограничений массопереноса и глубинной деградации</w:t>
            </w:r>
          </w:p>
        </w:tc>
      </w:tr>
    </w:tbl>
    <w:p w14:paraId="7C613F6B" w14:textId="77777777" w:rsidR="00CE291A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E7C5A1" w14:textId="74CBB667" w:rsidR="000C45A7" w:rsidRDefault="000C45A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45A7">
        <w:rPr>
          <w:rFonts w:ascii="Times New Roman" w:hAnsi="Times New Roman" w:cs="Times New Roman"/>
          <w:sz w:val="28"/>
          <w:szCs w:val="28"/>
        </w:rPr>
        <w:t xml:space="preserve">Следовательно, электрохимическая импедансная спектроскопия обладает двойной ценностью. С одной стороны, это физически интерпретируемый метод, позволяющий связать спектр с конкретными электрохимическими механизмами. С другой стороны, это </w:t>
      </w:r>
      <w:proofErr w:type="spellStart"/>
      <w:r w:rsidRPr="000C45A7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0C45A7">
        <w:rPr>
          <w:rFonts w:ascii="Times New Roman" w:hAnsi="Times New Roman" w:cs="Times New Roman"/>
          <w:sz w:val="28"/>
          <w:szCs w:val="28"/>
        </w:rPr>
        <w:t xml:space="preserve"> перспективный диагностический инструмент, который при правильном выборе частот и корректной модели может быть адаптирован к задачам экспресс-оценки состояния и прогноза ресурса батареи. Современные обзоры подчёркивают, что именно развитие быстрого, </w:t>
      </w:r>
      <w:r w:rsidRPr="000C45A7">
        <w:rPr>
          <w:rFonts w:ascii="Times New Roman" w:hAnsi="Times New Roman" w:cs="Times New Roman"/>
          <w:sz w:val="28"/>
          <w:szCs w:val="28"/>
        </w:rPr>
        <w:lastRenderedPageBreak/>
        <w:t xml:space="preserve">динамического и </w:t>
      </w:r>
      <w:proofErr w:type="spellStart"/>
      <w:r w:rsidRPr="000C45A7">
        <w:rPr>
          <w:rFonts w:ascii="Times New Roman" w:hAnsi="Times New Roman" w:cs="Times New Roman"/>
          <w:sz w:val="28"/>
          <w:szCs w:val="28"/>
          <w:highlight w:val="yellow"/>
        </w:rPr>
        <w:t>onboard</w:t>
      </w:r>
      <w:proofErr w:type="spellEnd"/>
      <w:r w:rsidRPr="000C45A7">
        <w:rPr>
          <w:rFonts w:ascii="Times New Roman" w:hAnsi="Times New Roman" w:cs="Times New Roman"/>
          <w:sz w:val="28"/>
          <w:szCs w:val="28"/>
          <w:highlight w:val="yellow"/>
        </w:rPr>
        <w:t>-совместимого</w:t>
      </w:r>
      <w:r w:rsidRPr="000C45A7">
        <w:rPr>
          <w:rFonts w:ascii="Times New Roman" w:hAnsi="Times New Roman" w:cs="Times New Roman"/>
          <w:sz w:val="28"/>
          <w:szCs w:val="28"/>
        </w:rPr>
        <w:t xml:space="preserve"> EIS-подхода является одной из главных задач следующего этапа эволюции </w:t>
      </w:r>
      <w:proofErr w:type="spellStart"/>
      <w:r w:rsidRPr="000C45A7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Pr="000C45A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0C45A7">
        <w:rPr>
          <w:rFonts w:ascii="Times New Roman" w:hAnsi="Times New Roman" w:cs="Times New Roman"/>
          <w:sz w:val="28"/>
          <w:szCs w:val="28"/>
          <w:highlight w:val="yellow"/>
        </w:rPr>
        <w:t>diagnostics</w:t>
      </w:r>
      <w:proofErr w:type="spellEnd"/>
      <w:r w:rsidRPr="000C45A7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2B968D07" w14:textId="511FE0A5" w:rsidR="000C45A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43D7">
        <w:rPr>
          <w:rFonts w:ascii="Times New Roman" w:hAnsi="Times New Roman" w:cs="Times New Roman"/>
          <w:sz w:val="28"/>
          <w:szCs w:val="28"/>
        </w:rPr>
        <w:t>Однако при всей высокой информативности EIS остаётся открытым вопрос о том, насколько существующие модели прогнозирования ресурса способны использовать импедансные признаки в реальных тяговых режимах. Поэтому следующим шагом необходимо рассмотреть современные подходы к прогнозированию остаточного ресурса аккумуляторных батарей и критически сопоставить их физическую обоснованность, инженерную реализуемость и устойчивость в условиях нестационарной эксплуатации.</w:t>
      </w:r>
    </w:p>
    <w:p w14:paraId="09A5EFB5" w14:textId="77777777" w:rsid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723663" w14:textId="73121ACE" w:rsidR="003843D7" w:rsidRP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43D7">
        <w:rPr>
          <w:rFonts w:ascii="Times New Roman" w:hAnsi="Times New Roman" w:cs="Times New Roman"/>
          <w:b/>
          <w:bCs/>
          <w:sz w:val="28"/>
          <w:szCs w:val="28"/>
        </w:rPr>
        <w:t>1.5 Анализ существующих моделей прогнозирования остаточного ресурса аккумуляторных батарей</w:t>
      </w:r>
    </w:p>
    <w:p w14:paraId="1EA7D60E" w14:textId="77777777" w:rsidR="003843D7" w:rsidRP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3843D7" w:rsidRPr="003843D7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21643"/>
    <w:rsid w:val="00026C0E"/>
    <w:rsid w:val="00031DF2"/>
    <w:rsid w:val="000325D8"/>
    <w:rsid w:val="00034171"/>
    <w:rsid w:val="000347E1"/>
    <w:rsid w:val="00061A05"/>
    <w:rsid w:val="0006550F"/>
    <w:rsid w:val="0007376D"/>
    <w:rsid w:val="000737B2"/>
    <w:rsid w:val="00074F0F"/>
    <w:rsid w:val="0008035D"/>
    <w:rsid w:val="000827A2"/>
    <w:rsid w:val="00090672"/>
    <w:rsid w:val="00093D8D"/>
    <w:rsid w:val="00094526"/>
    <w:rsid w:val="000A004B"/>
    <w:rsid w:val="000A06AE"/>
    <w:rsid w:val="000A5140"/>
    <w:rsid w:val="000B7EAC"/>
    <w:rsid w:val="000C45A7"/>
    <w:rsid w:val="000D1017"/>
    <w:rsid w:val="000E1575"/>
    <w:rsid w:val="000E50F5"/>
    <w:rsid w:val="000E7EAE"/>
    <w:rsid w:val="000F5501"/>
    <w:rsid w:val="001016FF"/>
    <w:rsid w:val="00110782"/>
    <w:rsid w:val="00110D50"/>
    <w:rsid w:val="00112725"/>
    <w:rsid w:val="00116F2B"/>
    <w:rsid w:val="00123A52"/>
    <w:rsid w:val="00126604"/>
    <w:rsid w:val="00126864"/>
    <w:rsid w:val="001304D0"/>
    <w:rsid w:val="00131CCA"/>
    <w:rsid w:val="00140008"/>
    <w:rsid w:val="00141ED6"/>
    <w:rsid w:val="00147027"/>
    <w:rsid w:val="00147162"/>
    <w:rsid w:val="00156A70"/>
    <w:rsid w:val="00156EC4"/>
    <w:rsid w:val="001602D9"/>
    <w:rsid w:val="001614F9"/>
    <w:rsid w:val="00162B8E"/>
    <w:rsid w:val="001759E4"/>
    <w:rsid w:val="00193DC0"/>
    <w:rsid w:val="001A0B8F"/>
    <w:rsid w:val="001A49AA"/>
    <w:rsid w:val="001B3024"/>
    <w:rsid w:val="001B7A97"/>
    <w:rsid w:val="001D7450"/>
    <w:rsid w:val="001F0927"/>
    <w:rsid w:val="00204A17"/>
    <w:rsid w:val="0020557F"/>
    <w:rsid w:val="00206663"/>
    <w:rsid w:val="002139A3"/>
    <w:rsid w:val="00216404"/>
    <w:rsid w:val="0021675A"/>
    <w:rsid w:val="00222920"/>
    <w:rsid w:val="00223448"/>
    <w:rsid w:val="00234A24"/>
    <w:rsid w:val="002358CD"/>
    <w:rsid w:val="00242C76"/>
    <w:rsid w:val="002616AB"/>
    <w:rsid w:val="002638C1"/>
    <w:rsid w:val="00264837"/>
    <w:rsid w:val="00277B04"/>
    <w:rsid w:val="00283988"/>
    <w:rsid w:val="0028792F"/>
    <w:rsid w:val="002A4021"/>
    <w:rsid w:val="002A4899"/>
    <w:rsid w:val="002A4D23"/>
    <w:rsid w:val="002A4FF1"/>
    <w:rsid w:val="002A657A"/>
    <w:rsid w:val="002B1D51"/>
    <w:rsid w:val="002B1F3B"/>
    <w:rsid w:val="002B439F"/>
    <w:rsid w:val="002B5968"/>
    <w:rsid w:val="002C18E0"/>
    <w:rsid w:val="002C7B6C"/>
    <w:rsid w:val="002D41D3"/>
    <w:rsid w:val="002D4A79"/>
    <w:rsid w:val="002D5799"/>
    <w:rsid w:val="002E5720"/>
    <w:rsid w:val="002F2C01"/>
    <w:rsid w:val="003070C4"/>
    <w:rsid w:val="00320211"/>
    <w:rsid w:val="00325E07"/>
    <w:rsid w:val="00331993"/>
    <w:rsid w:val="00340B36"/>
    <w:rsid w:val="00341ACE"/>
    <w:rsid w:val="00351285"/>
    <w:rsid w:val="00352611"/>
    <w:rsid w:val="00355915"/>
    <w:rsid w:val="00356165"/>
    <w:rsid w:val="00356877"/>
    <w:rsid w:val="00361815"/>
    <w:rsid w:val="00363772"/>
    <w:rsid w:val="00371DD5"/>
    <w:rsid w:val="00376127"/>
    <w:rsid w:val="00381AA1"/>
    <w:rsid w:val="003843D7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3875"/>
    <w:rsid w:val="003E2E09"/>
    <w:rsid w:val="003E7F28"/>
    <w:rsid w:val="003E7F8F"/>
    <w:rsid w:val="004015C2"/>
    <w:rsid w:val="00411245"/>
    <w:rsid w:val="00414374"/>
    <w:rsid w:val="00415E90"/>
    <w:rsid w:val="00416FD2"/>
    <w:rsid w:val="00417535"/>
    <w:rsid w:val="00420211"/>
    <w:rsid w:val="00423027"/>
    <w:rsid w:val="00426939"/>
    <w:rsid w:val="00435449"/>
    <w:rsid w:val="00443C43"/>
    <w:rsid w:val="00445407"/>
    <w:rsid w:val="0044617A"/>
    <w:rsid w:val="00453D55"/>
    <w:rsid w:val="004541DF"/>
    <w:rsid w:val="00462264"/>
    <w:rsid w:val="00473BD3"/>
    <w:rsid w:val="00474A30"/>
    <w:rsid w:val="00475DF7"/>
    <w:rsid w:val="0048460B"/>
    <w:rsid w:val="00486F2C"/>
    <w:rsid w:val="004A5C3A"/>
    <w:rsid w:val="004B2EDB"/>
    <w:rsid w:val="004B5BBF"/>
    <w:rsid w:val="004B68AE"/>
    <w:rsid w:val="004D0025"/>
    <w:rsid w:val="004D0B2B"/>
    <w:rsid w:val="004D7061"/>
    <w:rsid w:val="004E73D4"/>
    <w:rsid w:val="005047D2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37684"/>
    <w:rsid w:val="00541074"/>
    <w:rsid w:val="00552AA7"/>
    <w:rsid w:val="00561EB4"/>
    <w:rsid w:val="0056443E"/>
    <w:rsid w:val="0056469F"/>
    <w:rsid w:val="00573537"/>
    <w:rsid w:val="00574A9B"/>
    <w:rsid w:val="0057524C"/>
    <w:rsid w:val="005763C3"/>
    <w:rsid w:val="00581049"/>
    <w:rsid w:val="00581551"/>
    <w:rsid w:val="005815A9"/>
    <w:rsid w:val="00592D1B"/>
    <w:rsid w:val="00593C57"/>
    <w:rsid w:val="005B7233"/>
    <w:rsid w:val="005C227D"/>
    <w:rsid w:val="005C5B7F"/>
    <w:rsid w:val="005D1729"/>
    <w:rsid w:val="005D32F1"/>
    <w:rsid w:val="005D61EC"/>
    <w:rsid w:val="005E51FC"/>
    <w:rsid w:val="005F331D"/>
    <w:rsid w:val="00604DBC"/>
    <w:rsid w:val="00607463"/>
    <w:rsid w:val="006159CC"/>
    <w:rsid w:val="00615E2B"/>
    <w:rsid w:val="00621FAF"/>
    <w:rsid w:val="00622012"/>
    <w:rsid w:val="00623599"/>
    <w:rsid w:val="006241C1"/>
    <w:rsid w:val="00624857"/>
    <w:rsid w:val="006270BF"/>
    <w:rsid w:val="0062724D"/>
    <w:rsid w:val="006317CF"/>
    <w:rsid w:val="00651AA9"/>
    <w:rsid w:val="00651F8E"/>
    <w:rsid w:val="00654960"/>
    <w:rsid w:val="00664B88"/>
    <w:rsid w:val="006765D7"/>
    <w:rsid w:val="006769B4"/>
    <w:rsid w:val="00681EE6"/>
    <w:rsid w:val="00683D88"/>
    <w:rsid w:val="00684B83"/>
    <w:rsid w:val="00690F2A"/>
    <w:rsid w:val="006A24C3"/>
    <w:rsid w:val="006B4872"/>
    <w:rsid w:val="006B6106"/>
    <w:rsid w:val="006C7EA1"/>
    <w:rsid w:val="006D51C4"/>
    <w:rsid w:val="006D5D13"/>
    <w:rsid w:val="006D6B85"/>
    <w:rsid w:val="006E30D1"/>
    <w:rsid w:val="006E4AB9"/>
    <w:rsid w:val="006F49B8"/>
    <w:rsid w:val="006F610E"/>
    <w:rsid w:val="00700901"/>
    <w:rsid w:val="007066E1"/>
    <w:rsid w:val="00707496"/>
    <w:rsid w:val="007111AC"/>
    <w:rsid w:val="007147D4"/>
    <w:rsid w:val="00714ABB"/>
    <w:rsid w:val="007154BD"/>
    <w:rsid w:val="00716E16"/>
    <w:rsid w:val="0072389C"/>
    <w:rsid w:val="0072749C"/>
    <w:rsid w:val="0073293F"/>
    <w:rsid w:val="00741AF1"/>
    <w:rsid w:val="007431E4"/>
    <w:rsid w:val="00760A0D"/>
    <w:rsid w:val="007649B5"/>
    <w:rsid w:val="007649EA"/>
    <w:rsid w:val="00764CBB"/>
    <w:rsid w:val="00770FC8"/>
    <w:rsid w:val="0078052A"/>
    <w:rsid w:val="007846DD"/>
    <w:rsid w:val="00795D96"/>
    <w:rsid w:val="00796AA0"/>
    <w:rsid w:val="007A1B5F"/>
    <w:rsid w:val="007A32DC"/>
    <w:rsid w:val="007A4BA2"/>
    <w:rsid w:val="007A5477"/>
    <w:rsid w:val="007B2450"/>
    <w:rsid w:val="007B4924"/>
    <w:rsid w:val="007B61E6"/>
    <w:rsid w:val="007C2566"/>
    <w:rsid w:val="007C7DAD"/>
    <w:rsid w:val="007D40EA"/>
    <w:rsid w:val="007E1114"/>
    <w:rsid w:val="007F76A4"/>
    <w:rsid w:val="00801898"/>
    <w:rsid w:val="00805DD6"/>
    <w:rsid w:val="0080637A"/>
    <w:rsid w:val="00824D26"/>
    <w:rsid w:val="0082599F"/>
    <w:rsid w:val="008262A5"/>
    <w:rsid w:val="00832752"/>
    <w:rsid w:val="008353D2"/>
    <w:rsid w:val="0083645B"/>
    <w:rsid w:val="0084020D"/>
    <w:rsid w:val="00841146"/>
    <w:rsid w:val="00845853"/>
    <w:rsid w:val="00854645"/>
    <w:rsid w:val="00855B00"/>
    <w:rsid w:val="00863A31"/>
    <w:rsid w:val="00865BBC"/>
    <w:rsid w:val="00866F39"/>
    <w:rsid w:val="008733DF"/>
    <w:rsid w:val="0087345C"/>
    <w:rsid w:val="0087489C"/>
    <w:rsid w:val="008776EE"/>
    <w:rsid w:val="008815CB"/>
    <w:rsid w:val="00883ADC"/>
    <w:rsid w:val="00885745"/>
    <w:rsid w:val="00885A97"/>
    <w:rsid w:val="00892BEC"/>
    <w:rsid w:val="00895C07"/>
    <w:rsid w:val="008A0B55"/>
    <w:rsid w:val="008A210B"/>
    <w:rsid w:val="008A782A"/>
    <w:rsid w:val="008B2348"/>
    <w:rsid w:val="008B66C9"/>
    <w:rsid w:val="008C247C"/>
    <w:rsid w:val="008C2C58"/>
    <w:rsid w:val="008C2FE2"/>
    <w:rsid w:val="008C72D1"/>
    <w:rsid w:val="008D4C53"/>
    <w:rsid w:val="008E3C59"/>
    <w:rsid w:val="008E4359"/>
    <w:rsid w:val="008E4984"/>
    <w:rsid w:val="008E688D"/>
    <w:rsid w:val="008F3639"/>
    <w:rsid w:val="008F643C"/>
    <w:rsid w:val="00901DBF"/>
    <w:rsid w:val="00903768"/>
    <w:rsid w:val="00904F4D"/>
    <w:rsid w:val="00905695"/>
    <w:rsid w:val="00910019"/>
    <w:rsid w:val="00914F21"/>
    <w:rsid w:val="00927FAB"/>
    <w:rsid w:val="00930775"/>
    <w:rsid w:val="00931203"/>
    <w:rsid w:val="00943D79"/>
    <w:rsid w:val="00944667"/>
    <w:rsid w:val="00947272"/>
    <w:rsid w:val="00947DDC"/>
    <w:rsid w:val="00956A45"/>
    <w:rsid w:val="00960CFC"/>
    <w:rsid w:val="00962AB9"/>
    <w:rsid w:val="009726DE"/>
    <w:rsid w:val="00972CF7"/>
    <w:rsid w:val="009761FB"/>
    <w:rsid w:val="00980327"/>
    <w:rsid w:val="009862F4"/>
    <w:rsid w:val="00987B84"/>
    <w:rsid w:val="00993ACA"/>
    <w:rsid w:val="00995500"/>
    <w:rsid w:val="00996796"/>
    <w:rsid w:val="009A0BF5"/>
    <w:rsid w:val="009B5CC0"/>
    <w:rsid w:val="009C73A4"/>
    <w:rsid w:val="009D7C13"/>
    <w:rsid w:val="009E2D0F"/>
    <w:rsid w:val="00A01B55"/>
    <w:rsid w:val="00A05515"/>
    <w:rsid w:val="00A07748"/>
    <w:rsid w:val="00A1102D"/>
    <w:rsid w:val="00A15C66"/>
    <w:rsid w:val="00A26AE9"/>
    <w:rsid w:val="00A26B7B"/>
    <w:rsid w:val="00A3109E"/>
    <w:rsid w:val="00A41681"/>
    <w:rsid w:val="00A51AB9"/>
    <w:rsid w:val="00A573A9"/>
    <w:rsid w:val="00A64406"/>
    <w:rsid w:val="00A678C9"/>
    <w:rsid w:val="00A719C0"/>
    <w:rsid w:val="00A73453"/>
    <w:rsid w:val="00A76EA8"/>
    <w:rsid w:val="00A7709D"/>
    <w:rsid w:val="00A83450"/>
    <w:rsid w:val="00A83912"/>
    <w:rsid w:val="00A83D65"/>
    <w:rsid w:val="00A84028"/>
    <w:rsid w:val="00A849C1"/>
    <w:rsid w:val="00AA580B"/>
    <w:rsid w:val="00AB1175"/>
    <w:rsid w:val="00AB199D"/>
    <w:rsid w:val="00AC37DB"/>
    <w:rsid w:val="00AC57A6"/>
    <w:rsid w:val="00AC6228"/>
    <w:rsid w:val="00AD1B3E"/>
    <w:rsid w:val="00AD1CE9"/>
    <w:rsid w:val="00AD6898"/>
    <w:rsid w:val="00AE27B1"/>
    <w:rsid w:val="00AF1D4F"/>
    <w:rsid w:val="00AF78E0"/>
    <w:rsid w:val="00B023A1"/>
    <w:rsid w:val="00B033D7"/>
    <w:rsid w:val="00B154A1"/>
    <w:rsid w:val="00B22AC9"/>
    <w:rsid w:val="00B324F1"/>
    <w:rsid w:val="00B33E3A"/>
    <w:rsid w:val="00B37C45"/>
    <w:rsid w:val="00B4726D"/>
    <w:rsid w:val="00B509A7"/>
    <w:rsid w:val="00B525A8"/>
    <w:rsid w:val="00B56BFE"/>
    <w:rsid w:val="00B63528"/>
    <w:rsid w:val="00B70450"/>
    <w:rsid w:val="00B76180"/>
    <w:rsid w:val="00B77616"/>
    <w:rsid w:val="00B7783E"/>
    <w:rsid w:val="00B93DE5"/>
    <w:rsid w:val="00BA643E"/>
    <w:rsid w:val="00BA7334"/>
    <w:rsid w:val="00BB5F49"/>
    <w:rsid w:val="00BB7242"/>
    <w:rsid w:val="00BD489F"/>
    <w:rsid w:val="00C005C8"/>
    <w:rsid w:val="00C055C8"/>
    <w:rsid w:val="00C136D9"/>
    <w:rsid w:val="00C1563B"/>
    <w:rsid w:val="00C2560F"/>
    <w:rsid w:val="00C26DA0"/>
    <w:rsid w:val="00C321F5"/>
    <w:rsid w:val="00C40F1C"/>
    <w:rsid w:val="00C44176"/>
    <w:rsid w:val="00C47C4E"/>
    <w:rsid w:val="00C5658D"/>
    <w:rsid w:val="00C614AC"/>
    <w:rsid w:val="00C7323B"/>
    <w:rsid w:val="00C741F8"/>
    <w:rsid w:val="00C7589D"/>
    <w:rsid w:val="00C77E42"/>
    <w:rsid w:val="00C81F23"/>
    <w:rsid w:val="00C94C2C"/>
    <w:rsid w:val="00CB0D7C"/>
    <w:rsid w:val="00CB155F"/>
    <w:rsid w:val="00CC2ACB"/>
    <w:rsid w:val="00CE291A"/>
    <w:rsid w:val="00CE3413"/>
    <w:rsid w:val="00CF0E33"/>
    <w:rsid w:val="00CF43BE"/>
    <w:rsid w:val="00D01A5E"/>
    <w:rsid w:val="00D02E7C"/>
    <w:rsid w:val="00D03686"/>
    <w:rsid w:val="00D048A9"/>
    <w:rsid w:val="00D05F77"/>
    <w:rsid w:val="00D11DDA"/>
    <w:rsid w:val="00D1756A"/>
    <w:rsid w:val="00D20D67"/>
    <w:rsid w:val="00D21680"/>
    <w:rsid w:val="00D2677E"/>
    <w:rsid w:val="00D322C8"/>
    <w:rsid w:val="00D34426"/>
    <w:rsid w:val="00D400C8"/>
    <w:rsid w:val="00D40774"/>
    <w:rsid w:val="00D4400F"/>
    <w:rsid w:val="00D544EB"/>
    <w:rsid w:val="00D54A84"/>
    <w:rsid w:val="00D56314"/>
    <w:rsid w:val="00D567B3"/>
    <w:rsid w:val="00D70804"/>
    <w:rsid w:val="00D73247"/>
    <w:rsid w:val="00D81E00"/>
    <w:rsid w:val="00D87456"/>
    <w:rsid w:val="00DB4CC8"/>
    <w:rsid w:val="00DB6971"/>
    <w:rsid w:val="00DE0E51"/>
    <w:rsid w:val="00DE1452"/>
    <w:rsid w:val="00DE758C"/>
    <w:rsid w:val="00DE763F"/>
    <w:rsid w:val="00DF1117"/>
    <w:rsid w:val="00DF4B02"/>
    <w:rsid w:val="00DF68FB"/>
    <w:rsid w:val="00E004BC"/>
    <w:rsid w:val="00E02636"/>
    <w:rsid w:val="00E076D9"/>
    <w:rsid w:val="00E22459"/>
    <w:rsid w:val="00E3731B"/>
    <w:rsid w:val="00E5270D"/>
    <w:rsid w:val="00E5587A"/>
    <w:rsid w:val="00E62D89"/>
    <w:rsid w:val="00E844DC"/>
    <w:rsid w:val="00E847DD"/>
    <w:rsid w:val="00E92F2E"/>
    <w:rsid w:val="00E935C6"/>
    <w:rsid w:val="00E94AEE"/>
    <w:rsid w:val="00EA7000"/>
    <w:rsid w:val="00EB1752"/>
    <w:rsid w:val="00EB57CC"/>
    <w:rsid w:val="00EB5BB7"/>
    <w:rsid w:val="00EC0658"/>
    <w:rsid w:val="00EC330C"/>
    <w:rsid w:val="00EC53E3"/>
    <w:rsid w:val="00EC5BEB"/>
    <w:rsid w:val="00EC632F"/>
    <w:rsid w:val="00EC633C"/>
    <w:rsid w:val="00EE12F0"/>
    <w:rsid w:val="00EE2612"/>
    <w:rsid w:val="00EE37F5"/>
    <w:rsid w:val="00EE5475"/>
    <w:rsid w:val="00EE6018"/>
    <w:rsid w:val="00EE65D3"/>
    <w:rsid w:val="00EE687B"/>
    <w:rsid w:val="00F008CD"/>
    <w:rsid w:val="00F00EB5"/>
    <w:rsid w:val="00F04658"/>
    <w:rsid w:val="00F0482E"/>
    <w:rsid w:val="00F071E9"/>
    <w:rsid w:val="00F109F1"/>
    <w:rsid w:val="00F2275A"/>
    <w:rsid w:val="00F2638A"/>
    <w:rsid w:val="00F31616"/>
    <w:rsid w:val="00F3389B"/>
    <w:rsid w:val="00F35630"/>
    <w:rsid w:val="00F439D1"/>
    <w:rsid w:val="00F4518D"/>
    <w:rsid w:val="00F50231"/>
    <w:rsid w:val="00F5115E"/>
    <w:rsid w:val="00F548B0"/>
    <w:rsid w:val="00F54D08"/>
    <w:rsid w:val="00F564B9"/>
    <w:rsid w:val="00F63D24"/>
    <w:rsid w:val="00F76BC7"/>
    <w:rsid w:val="00F86185"/>
    <w:rsid w:val="00F9231E"/>
    <w:rsid w:val="00F96030"/>
    <w:rsid w:val="00FA5E0A"/>
    <w:rsid w:val="00FB514F"/>
    <w:rsid w:val="00FB5916"/>
    <w:rsid w:val="00FC19D7"/>
    <w:rsid w:val="00FC1FE6"/>
    <w:rsid w:val="00FC253A"/>
    <w:rsid w:val="00FD7F1B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9.bin"/><Relationship Id="rId21" Type="http://schemas.openxmlformats.org/officeDocument/2006/relationships/oleObject" Target="embeddings/oleObject7.bin"/><Relationship Id="rId42" Type="http://schemas.openxmlformats.org/officeDocument/2006/relationships/image" Target="media/image21.png"/><Relationship Id="rId47" Type="http://schemas.openxmlformats.org/officeDocument/2006/relationships/image" Target="media/image25.wmf"/><Relationship Id="rId63" Type="http://schemas.openxmlformats.org/officeDocument/2006/relationships/oleObject" Target="embeddings/oleObject25.bin"/><Relationship Id="rId68" Type="http://schemas.openxmlformats.org/officeDocument/2006/relationships/oleObject" Target="embeddings/oleObject27.bin"/><Relationship Id="rId84" Type="http://schemas.openxmlformats.org/officeDocument/2006/relationships/image" Target="media/image45.wmf"/><Relationship Id="rId89" Type="http://schemas.openxmlformats.org/officeDocument/2006/relationships/oleObject" Target="embeddings/oleObject37.bin"/><Relationship Id="rId112" Type="http://schemas.openxmlformats.org/officeDocument/2006/relationships/oleObject" Target="embeddings/oleObject48.bin"/><Relationship Id="rId16" Type="http://schemas.openxmlformats.org/officeDocument/2006/relationships/image" Target="media/image6.png"/><Relationship Id="rId107" Type="http://schemas.openxmlformats.org/officeDocument/2006/relationships/oleObject" Target="embeddings/oleObject46.bin"/><Relationship Id="rId11" Type="http://schemas.openxmlformats.org/officeDocument/2006/relationships/oleObject" Target="embeddings/oleObject3.bin"/><Relationship Id="rId24" Type="http://schemas.openxmlformats.org/officeDocument/2006/relationships/oleObject" Target="embeddings/oleObject8.bin"/><Relationship Id="rId32" Type="http://schemas.openxmlformats.org/officeDocument/2006/relationships/oleObject" Target="embeddings/oleObject12.bin"/><Relationship Id="rId37" Type="http://schemas.openxmlformats.org/officeDocument/2006/relationships/image" Target="media/image18.wmf"/><Relationship Id="rId40" Type="http://schemas.openxmlformats.org/officeDocument/2006/relationships/oleObject" Target="embeddings/oleObject16.bin"/><Relationship Id="rId45" Type="http://schemas.openxmlformats.org/officeDocument/2006/relationships/image" Target="media/image24.wmf"/><Relationship Id="rId53" Type="http://schemas.openxmlformats.org/officeDocument/2006/relationships/oleObject" Target="embeddings/oleObject20.bin"/><Relationship Id="rId58" Type="http://schemas.openxmlformats.org/officeDocument/2006/relationships/image" Target="media/image31.wmf"/><Relationship Id="rId66" Type="http://schemas.openxmlformats.org/officeDocument/2006/relationships/image" Target="media/image35.png"/><Relationship Id="rId74" Type="http://schemas.openxmlformats.org/officeDocument/2006/relationships/oleObject" Target="embeddings/oleObject30.bin"/><Relationship Id="rId79" Type="http://schemas.openxmlformats.org/officeDocument/2006/relationships/image" Target="media/image42.wmf"/><Relationship Id="rId87" Type="http://schemas.openxmlformats.org/officeDocument/2006/relationships/oleObject" Target="embeddings/oleObject36.bin"/><Relationship Id="rId102" Type="http://schemas.openxmlformats.org/officeDocument/2006/relationships/image" Target="media/image54.wmf"/><Relationship Id="rId110" Type="http://schemas.openxmlformats.org/officeDocument/2006/relationships/oleObject" Target="embeddings/oleObject47.bin"/><Relationship Id="rId115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oleObject" Target="embeddings/oleObject24.bin"/><Relationship Id="rId82" Type="http://schemas.openxmlformats.org/officeDocument/2006/relationships/image" Target="media/image44.wmf"/><Relationship Id="rId90" Type="http://schemas.openxmlformats.org/officeDocument/2006/relationships/image" Target="media/image48.wmf"/><Relationship Id="rId95" Type="http://schemas.openxmlformats.org/officeDocument/2006/relationships/oleObject" Target="embeddings/oleObject40.bin"/><Relationship Id="rId19" Type="http://schemas.openxmlformats.org/officeDocument/2006/relationships/image" Target="media/image8.png"/><Relationship Id="rId14" Type="http://schemas.openxmlformats.org/officeDocument/2006/relationships/image" Target="media/image5.wmf"/><Relationship Id="rId22" Type="http://schemas.openxmlformats.org/officeDocument/2006/relationships/image" Target="media/image10.png"/><Relationship Id="rId27" Type="http://schemas.openxmlformats.org/officeDocument/2006/relationships/image" Target="media/image13.wmf"/><Relationship Id="rId30" Type="http://schemas.openxmlformats.org/officeDocument/2006/relationships/oleObject" Target="embeddings/oleObject11.bin"/><Relationship Id="rId35" Type="http://schemas.openxmlformats.org/officeDocument/2006/relationships/image" Target="media/image17.wmf"/><Relationship Id="rId43" Type="http://schemas.openxmlformats.org/officeDocument/2006/relationships/image" Target="media/image22.png"/><Relationship Id="rId48" Type="http://schemas.openxmlformats.org/officeDocument/2006/relationships/oleObject" Target="embeddings/oleObject18.bin"/><Relationship Id="rId56" Type="http://schemas.openxmlformats.org/officeDocument/2006/relationships/image" Target="media/image30.wmf"/><Relationship Id="rId64" Type="http://schemas.openxmlformats.org/officeDocument/2006/relationships/image" Target="media/image34.wmf"/><Relationship Id="rId69" Type="http://schemas.openxmlformats.org/officeDocument/2006/relationships/image" Target="media/image37.wmf"/><Relationship Id="rId77" Type="http://schemas.openxmlformats.org/officeDocument/2006/relationships/image" Target="media/image41.wmf"/><Relationship Id="rId100" Type="http://schemas.openxmlformats.org/officeDocument/2006/relationships/image" Target="media/image53.wmf"/><Relationship Id="rId105" Type="http://schemas.openxmlformats.org/officeDocument/2006/relationships/oleObject" Target="embeddings/oleObject45.bin"/><Relationship Id="rId113" Type="http://schemas.openxmlformats.org/officeDocument/2006/relationships/image" Target="media/image60.png"/><Relationship Id="rId8" Type="http://schemas.openxmlformats.org/officeDocument/2006/relationships/image" Target="media/image2.wmf"/><Relationship Id="rId51" Type="http://schemas.openxmlformats.org/officeDocument/2006/relationships/oleObject" Target="embeddings/oleObject19.bin"/><Relationship Id="rId72" Type="http://schemas.openxmlformats.org/officeDocument/2006/relationships/oleObject" Target="embeddings/oleObject29.bin"/><Relationship Id="rId80" Type="http://schemas.openxmlformats.org/officeDocument/2006/relationships/oleObject" Target="embeddings/oleObject33.bin"/><Relationship Id="rId85" Type="http://schemas.openxmlformats.org/officeDocument/2006/relationships/oleObject" Target="embeddings/oleObject35.bin"/><Relationship Id="rId93" Type="http://schemas.openxmlformats.org/officeDocument/2006/relationships/oleObject" Target="embeddings/oleObject39.bin"/><Relationship Id="rId98" Type="http://schemas.openxmlformats.org/officeDocument/2006/relationships/image" Target="media/image52.wmf"/><Relationship Id="rId3" Type="http://schemas.openxmlformats.org/officeDocument/2006/relationships/styles" Target="styles.xml"/><Relationship Id="rId12" Type="http://schemas.openxmlformats.org/officeDocument/2006/relationships/image" Target="media/image4.wmf"/><Relationship Id="rId17" Type="http://schemas.openxmlformats.org/officeDocument/2006/relationships/image" Target="media/image7.wmf"/><Relationship Id="rId25" Type="http://schemas.openxmlformats.org/officeDocument/2006/relationships/image" Target="media/image12.wmf"/><Relationship Id="rId33" Type="http://schemas.openxmlformats.org/officeDocument/2006/relationships/image" Target="media/image16.wmf"/><Relationship Id="rId38" Type="http://schemas.openxmlformats.org/officeDocument/2006/relationships/oleObject" Target="embeddings/oleObject15.bin"/><Relationship Id="rId46" Type="http://schemas.openxmlformats.org/officeDocument/2006/relationships/oleObject" Target="embeddings/oleObject17.bin"/><Relationship Id="rId59" Type="http://schemas.openxmlformats.org/officeDocument/2006/relationships/oleObject" Target="embeddings/oleObject23.bin"/><Relationship Id="rId67" Type="http://schemas.openxmlformats.org/officeDocument/2006/relationships/image" Target="media/image36.wmf"/><Relationship Id="rId103" Type="http://schemas.openxmlformats.org/officeDocument/2006/relationships/oleObject" Target="embeddings/oleObject44.bin"/><Relationship Id="rId108" Type="http://schemas.openxmlformats.org/officeDocument/2006/relationships/image" Target="media/image57.png"/><Relationship Id="rId116" Type="http://schemas.openxmlformats.org/officeDocument/2006/relationships/theme" Target="theme/theme1.xml"/><Relationship Id="rId20" Type="http://schemas.openxmlformats.org/officeDocument/2006/relationships/image" Target="media/image9.wmf"/><Relationship Id="rId41" Type="http://schemas.openxmlformats.org/officeDocument/2006/relationships/image" Target="media/image20.png"/><Relationship Id="rId54" Type="http://schemas.openxmlformats.org/officeDocument/2006/relationships/image" Target="media/image29.wmf"/><Relationship Id="rId62" Type="http://schemas.openxmlformats.org/officeDocument/2006/relationships/image" Target="media/image33.wmf"/><Relationship Id="rId70" Type="http://schemas.openxmlformats.org/officeDocument/2006/relationships/oleObject" Target="embeddings/oleObject28.bin"/><Relationship Id="rId75" Type="http://schemas.openxmlformats.org/officeDocument/2006/relationships/image" Target="media/image40.wmf"/><Relationship Id="rId83" Type="http://schemas.openxmlformats.org/officeDocument/2006/relationships/oleObject" Target="embeddings/oleObject34.bin"/><Relationship Id="rId88" Type="http://schemas.openxmlformats.org/officeDocument/2006/relationships/image" Target="media/image47.wmf"/><Relationship Id="rId91" Type="http://schemas.openxmlformats.org/officeDocument/2006/relationships/oleObject" Target="embeddings/oleObject38.bin"/><Relationship Id="rId96" Type="http://schemas.openxmlformats.org/officeDocument/2006/relationships/image" Target="media/image51.wmf"/><Relationship Id="rId111" Type="http://schemas.openxmlformats.org/officeDocument/2006/relationships/image" Target="media/image59.wmf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5" Type="http://schemas.openxmlformats.org/officeDocument/2006/relationships/oleObject" Target="embeddings/oleObject5.bin"/><Relationship Id="rId23" Type="http://schemas.openxmlformats.org/officeDocument/2006/relationships/image" Target="media/image11.wmf"/><Relationship Id="rId28" Type="http://schemas.openxmlformats.org/officeDocument/2006/relationships/oleObject" Target="embeddings/oleObject10.bin"/><Relationship Id="rId36" Type="http://schemas.openxmlformats.org/officeDocument/2006/relationships/oleObject" Target="embeddings/oleObject14.bin"/><Relationship Id="rId49" Type="http://schemas.openxmlformats.org/officeDocument/2006/relationships/image" Target="media/image26.png"/><Relationship Id="rId57" Type="http://schemas.openxmlformats.org/officeDocument/2006/relationships/oleObject" Target="embeddings/oleObject22.bin"/><Relationship Id="rId106" Type="http://schemas.openxmlformats.org/officeDocument/2006/relationships/image" Target="media/image56.wmf"/><Relationship Id="rId114" Type="http://schemas.openxmlformats.org/officeDocument/2006/relationships/image" Target="media/image61.png"/><Relationship Id="rId10" Type="http://schemas.openxmlformats.org/officeDocument/2006/relationships/image" Target="media/image3.wmf"/><Relationship Id="rId31" Type="http://schemas.openxmlformats.org/officeDocument/2006/relationships/image" Target="media/image15.wmf"/><Relationship Id="rId44" Type="http://schemas.openxmlformats.org/officeDocument/2006/relationships/image" Target="media/image23.png"/><Relationship Id="rId52" Type="http://schemas.openxmlformats.org/officeDocument/2006/relationships/image" Target="media/image28.wmf"/><Relationship Id="rId60" Type="http://schemas.openxmlformats.org/officeDocument/2006/relationships/image" Target="media/image32.wmf"/><Relationship Id="rId65" Type="http://schemas.openxmlformats.org/officeDocument/2006/relationships/oleObject" Target="embeddings/oleObject26.bin"/><Relationship Id="rId73" Type="http://schemas.openxmlformats.org/officeDocument/2006/relationships/image" Target="media/image39.wmf"/><Relationship Id="rId78" Type="http://schemas.openxmlformats.org/officeDocument/2006/relationships/oleObject" Target="embeddings/oleObject32.bin"/><Relationship Id="rId81" Type="http://schemas.openxmlformats.org/officeDocument/2006/relationships/image" Target="media/image43.png"/><Relationship Id="rId86" Type="http://schemas.openxmlformats.org/officeDocument/2006/relationships/image" Target="media/image46.wmf"/><Relationship Id="rId94" Type="http://schemas.openxmlformats.org/officeDocument/2006/relationships/image" Target="media/image50.wmf"/><Relationship Id="rId99" Type="http://schemas.openxmlformats.org/officeDocument/2006/relationships/oleObject" Target="embeddings/oleObject42.bin"/><Relationship Id="rId101" Type="http://schemas.openxmlformats.org/officeDocument/2006/relationships/oleObject" Target="embeddings/oleObject43.bin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13" Type="http://schemas.openxmlformats.org/officeDocument/2006/relationships/oleObject" Target="embeddings/oleObject4.bin"/><Relationship Id="rId18" Type="http://schemas.openxmlformats.org/officeDocument/2006/relationships/oleObject" Target="embeddings/oleObject6.bin"/><Relationship Id="rId39" Type="http://schemas.openxmlformats.org/officeDocument/2006/relationships/image" Target="media/image19.wmf"/><Relationship Id="rId109" Type="http://schemas.openxmlformats.org/officeDocument/2006/relationships/image" Target="media/image58.wmf"/><Relationship Id="rId34" Type="http://schemas.openxmlformats.org/officeDocument/2006/relationships/oleObject" Target="embeddings/oleObject13.bin"/><Relationship Id="rId50" Type="http://schemas.openxmlformats.org/officeDocument/2006/relationships/image" Target="media/image27.wmf"/><Relationship Id="rId55" Type="http://schemas.openxmlformats.org/officeDocument/2006/relationships/oleObject" Target="embeddings/oleObject21.bin"/><Relationship Id="rId76" Type="http://schemas.openxmlformats.org/officeDocument/2006/relationships/oleObject" Target="embeddings/oleObject31.bin"/><Relationship Id="rId97" Type="http://schemas.openxmlformats.org/officeDocument/2006/relationships/oleObject" Target="embeddings/oleObject41.bin"/><Relationship Id="rId104" Type="http://schemas.openxmlformats.org/officeDocument/2006/relationships/image" Target="media/image55.wmf"/><Relationship Id="rId7" Type="http://schemas.openxmlformats.org/officeDocument/2006/relationships/oleObject" Target="embeddings/oleObject1.bin"/><Relationship Id="rId71" Type="http://schemas.openxmlformats.org/officeDocument/2006/relationships/image" Target="media/image38.wmf"/><Relationship Id="rId92" Type="http://schemas.openxmlformats.org/officeDocument/2006/relationships/image" Target="media/image49.wmf"/><Relationship Id="rId2" Type="http://schemas.openxmlformats.org/officeDocument/2006/relationships/numbering" Target="numbering.xml"/><Relationship Id="rId29" Type="http://schemas.openxmlformats.org/officeDocument/2006/relationships/image" Target="media/image14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1090</TotalTime>
  <Pages>50</Pages>
  <Words>8959</Words>
  <Characters>51068</Characters>
  <Application>Microsoft Office Word</Application>
  <DocSecurity>0</DocSecurity>
  <Lines>425</Lines>
  <Paragraphs>119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445</cp:revision>
  <dcterms:created xsi:type="dcterms:W3CDTF">2026-03-08T09:35:00Z</dcterms:created>
  <dcterms:modified xsi:type="dcterms:W3CDTF">2026-03-23T06:22:00Z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