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многомасштабная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а не сводится к простому 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4.9pt;height:20.4pt" o:ole="">
            <v:imagedata r:id="rId6" o:title=""/>
          </v:shape>
          <o:OLEObject Type="Embed" ProgID="Equation.DSMT4" ShapeID="_x0000_i1025" DrawAspect="Content" ObjectID="_1842083843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26" type="#_x0000_t75" style="width:157.95pt;height:33.85pt" o:ole="">
            <v:imagedata r:id="rId8" o:title=""/>
          </v:shape>
          <o:OLEObject Type="Embed" ProgID="Equation.DSMT4" ShapeID="_x0000_i1026" DrawAspect="Content" ObjectID="_1842083844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0"/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commentRangeEnd w:id="0"/>
      <w:r w:rsidR="00DB5B26" w:rsidRPr="00EE12F0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7B0126D9" w:rsidR="00EE12F0" w:rsidRPr="00DB5B26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27" type="#_x0000_t75" style="width:67.7pt;height:17.75pt" o:ole="">
            <v:imagedata r:id="rId14" o:title=""/>
          </v:shape>
          <o:OLEObject Type="Embed" ProgID="Equation.DSMT4" ShapeID="_x0000_i1027" DrawAspect="Content" ObjectID="_1842083845" r:id="rId15"/>
        </w:object>
      </w:r>
      <w:r w:rsidR="00DB5B26">
        <w:rPr>
          <w:rFonts w:ascii="Times New Roman" w:hAnsi="Times New Roman" w:cs="Times New Roman"/>
          <w:sz w:val="28"/>
          <w:szCs w:val="28"/>
        </w:rPr>
        <w:t>,</w:t>
      </w:r>
    </w:p>
    <w:p w14:paraId="0ED3C069" w14:textId="02C8F7EA" w:rsidR="00EE12F0" w:rsidRPr="00C7589D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28" type="#_x0000_t75" style="width:162.8pt;height:20.4pt" o:ole="">
            <v:imagedata r:id="rId16" o:title=""/>
          </v:shape>
          <o:OLEObject Type="Embed" ProgID="Equation.DSMT4" ShapeID="_x0000_i1028" DrawAspect="Content" ObjectID="_1842083846" r:id="rId17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>включающее омическую, зарядопереносную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29" type="#_x0000_t75" style="width:171.4pt;height:31.15pt" o:ole="">
            <v:imagedata r:id="rId18" o:title=""/>
          </v:shape>
          <o:OLEObject Type="Embed" ProgID="Equation.DSMT4" ShapeID="_x0000_i1029" DrawAspect="Content" ObjectID="_1842083847" r:id="rId19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 xml:space="preserve">Для последующего анализа в работе рассматриваются четыре группы аккумуляторных систем: NMC, LFP, LTO и Na-ion.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>натрий-ионные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1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1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5E3C5F30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="005C3755">
        <w:rPr>
          <w:rFonts w:ascii="Times New Roman" w:hAnsi="Times New Roman" w:cs="Times New Roman"/>
          <w:sz w:val="28"/>
          <w:szCs w:val="28"/>
        </w:rPr>
        <w:t xml:space="preserve"> </w:t>
      </w:r>
      <w:r w:rsidRPr="005C3755">
        <w:rPr>
          <w:rFonts w:ascii="Times New Roman" w:hAnsi="Times New Roman" w:cs="Times New Roman"/>
          <w:sz w:val="28"/>
          <w:szCs w:val="28"/>
          <w:highlight w:val="red"/>
        </w:rPr>
        <w:t>пульсирующим токопотреблением</w:t>
      </w:r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30" type="#_x0000_t75" style="width:103.7pt;height:18.8pt" o:ole="">
            <v:imagedata r:id="rId21" o:title=""/>
          </v:shape>
          <o:OLEObject Type="Embed" ProgID="Equation.DSMT4" ShapeID="_x0000_i1030" DrawAspect="Content" ObjectID="_1842083848" r:id="rId22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2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254BF959" w:rsidR="00395A91" w:rsidRPr="00AC04C1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31" type="#_x0000_t75" style="width:48.35pt;height:33.85pt" o:ole="">
            <v:imagedata r:id="rId24" o:title=""/>
          </v:shape>
          <o:OLEObject Type="Embed" ProgID="Equation.DSMT4" ShapeID="_x0000_i1031" DrawAspect="Content" ObjectID="_1842083849" r:id="rId25"/>
        </w:object>
      </w:r>
      <w:r w:rsidR="00F468BF">
        <w:rPr>
          <w:rFonts w:ascii="Times New Roman" w:hAnsi="Times New Roman" w:cs="Times New Roman"/>
          <w:sz w:val="28"/>
          <w:szCs w:val="28"/>
        </w:rPr>
        <w:t>,</w:t>
      </w:r>
    </w:p>
    <w:p w14:paraId="62E563EE" w14:textId="77777777" w:rsidR="00395A91" w:rsidRPr="00AC04C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19755D" w14:textId="781089C6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AC04C1">
        <w:rPr>
          <w:rFonts w:ascii="Times New Roman" w:hAnsi="Times New Roman" w:cs="Times New Roman"/>
          <w:sz w:val="28"/>
          <w:szCs w:val="28"/>
          <w:highlight w:val="yellow"/>
        </w:rPr>
        <w:t>обменного</w:t>
      </w:r>
      <w:r w:rsidRPr="00415E90">
        <w:rPr>
          <w:rFonts w:ascii="Times New Roman" w:hAnsi="Times New Roman" w:cs="Times New Roman"/>
          <w:sz w:val="28"/>
          <w:szCs w:val="28"/>
        </w:rPr>
        <w:t xml:space="preserve"> тока </w:t>
      </w:r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</w:t>
      </w:r>
      <w:r w:rsidRPr="00AC04C1">
        <w:rPr>
          <w:rFonts w:ascii="Times New Roman" w:hAnsi="Times New Roman" w:cs="Times New Roman"/>
          <w:sz w:val="28"/>
          <w:szCs w:val="28"/>
          <w:highlight w:val="red"/>
        </w:rPr>
        <w:t>реакционной</w:t>
      </w:r>
      <w:r w:rsidRPr="00415E90">
        <w:rPr>
          <w:rFonts w:ascii="Times New Roman" w:hAnsi="Times New Roman" w:cs="Times New Roman"/>
          <w:sz w:val="28"/>
          <w:szCs w:val="28"/>
        </w:rPr>
        <w:t xml:space="preserve"> поверхности </w:t>
      </w:r>
      <w:r w:rsidR="00AC04C1" w:rsidRPr="00AC04C1">
        <w:rPr>
          <w:rFonts w:ascii="Times New Roman" w:hAnsi="Times New Roman" w:cs="Times New Roman"/>
          <w:sz w:val="28"/>
          <w:szCs w:val="28"/>
          <w:highlight w:val="green"/>
        </w:rPr>
        <w:t>реакции</w:t>
      </w:r>
      <w:r w:rsidR="00AC04C1">
        <w:rPr>
          <w:rFonts w:ascii="Times New Roman" w:hAnsi="Times New Roman" w:cs="Times New Roman"/>
          <w:sz w:val="28"/>
          <w:szCs w:val="28"/>
        </w:rPr>
        <w:t xml:space="preserve"> </w:t>
      </w:r>
      <w:r w:rsidRPr="00415E90">
        <w:rPr>
          <w:rFonts w:ascii="Times New Roman" w:hAnsi="Times New Roman" w:cs="Times New Roman"/>
          <w:sz w:val="28"/>
          <w:szCs w:val="28"/>
        </w:rPr>
        <w:t xml:space="preserve">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</w:t>
      </w:r>
      <w:r w:rsidRPr="00415E90">
        <w:rPr>
          <w:rFonts w:ascii="Times New Roman" w:hAnsi="Times New Roman" w:cs="Times New Roman"/>
          <w:sz w:val="28"/>
          <w:szCs w:val="28"/>
        </w:rPr>
        <w:lastRenderedPageBreak/>
        <w:t>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 xml:space="preserve">На рисунке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значению </w:t>
      </w:r>
      <w:r w:rsidRPr="000A06AE">
        <w:rPr>
          <w:rFonts w:ascii="Times New Roman" w:hAnsi="Times New Roman" w:cs="Times New Roman"/>
          <w:sz w:val="28"/>
          <w:szCs w:val="28"/>
        </w:rPr>
        <w:lastRenderedPageBreak/>
        <w:t>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1E5CEDF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r w:rsidRPr="00250E7D">
        <w:rPr>
          <w:rFonts w:ascii="Times New Roman" w:hAnsi="Times New Roman" w:cs="Times New Roman"/>
          <w:sz w:val="28"/>
          <w:szCs w:val="28"/>
          <w:highlight w:val="yellow"/>
        </w:rPr>
        <w:t>циклируемого</w:t>
      </w:r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макропроявлениями являются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снижение ёмкости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capacity fade</w:t>
      </w:r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импеданса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impedance rise</w:t>
      </w:r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586E47EC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деградационный</w:t>
      </w:r>
      <w:r w:rsidRPr="00522B5B">
        <w:rPr>
          <w:rFonts w:ascii="Times New Roman" w:hAnsi="Times New Roman" w:cs="Times New Roman"/>
          <w:sz w:val="28"/>
          <w:szCs w:val="28"/>
        </w:rPr>
        <w:t xml:space="preserve">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p w14:paraId="29275B8A" w14:textId="77777777" w:rsidR="00AE27B1" w:rsidRDefault="00AE27B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8C990" w14:textId="7630A665" w:rsidR="0057524C" w:rsidRP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48B0">
        <w:rPr>
          <w:rFonts w:ascii="Times New Roman" w:hAnsi="Times New Roman" w:cs="Times New Roman"/>
          <w:position w:val="-24"/>
          <w:sz w:val="28"/>
          <w:szCs w:val="28"/>
        </w:rPr>
        <w:object w:dxaOrig="3379" w:dyaOrig="620" w14:anchorId="438A2006">
          <v:shape id="_x0000_i1032" type="#_x0000_t75" style="width:168.2pt;height:31.15pt" o:ole="">
            <v:imagedata r:id="rId27" o:title=""/>
          </v:shape>
          <o:OLEObject Type="Embed" ProgID="Equation.DSMT4" ShapeID="_x0000_i1032" DrawAspect="Content" ObjectID="_1842083850" r:id="rId28"/>
        </w:object>
      </w:r>
    </w:p>
    <w:p w14:paraId="01F43E17" w14:textId="17589237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p w14:paraId="453664FE" w14:textId="77777777" w:rsidR="00F564B9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AF2661" w14:textId="7B8014E3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0B2B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A0E180C">
          <v:shape id="_x0000_i1033" type="#_x0000_t75" style="width:47.8pt;height:33.85pt" o:ole="">
            <v:imagedata r:id="rId29" o:title=""/>
          </v:shape>
          <o:OLEObject Type="Embed" ProgID="Equation.DSMT4" ShapeID="_x0000_i1033" DrawAspect="Content" ObjectID="_1842083851" r:id="rId30"/>
        </w:object>
      </w:r>
    </w:p>
    <w:p w14:paraId="5544E993" w14:textId="1098940E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1F875F" w14:textId="39158485" w:rsidR="004D0B2B" w:rsidRDefault="002E572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0F527CC7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транспортом</w:t>
      </w:r>
      <w:r w:rsidRPr="00381AA1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реагентов через уже сформировавшийся слой, то на основе второго закона Фика</w:t>
      </w:r>
    </w:p>
    <w:p w14:paraId="128767FE" w14:textId="77777777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48867E" w14:textId="67B8AB32" w:rsidR="00381AA1" w:rsidRP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5867754B">
          <v:shape id="_x0000_i1034" type="#_x0000_t75" style="width:63.95pt;height:31.7pt" o:ole="">
            <v:imagedata r:id="rId31" o:title=""/>
          </v:shape>
          <o:OLEObject Type="Embed" ProgID="Equation.DSMT4" ShapeID="_x0000_i1034" DrawAspect="Content" ObjectID="_1842083852" r:id="rId32"/>
        </w:object>
      </w:r>
    </w:p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6pt;height:21.5pt" o:ole="">
            <v:imagedata r:id="rId33" o:title=""/>
          </v:shape>
          <o:OLEObject Type="Embed" ProgID="Equation.DSMT4" ShapeID="_x0000_i1035" DrawAspect="Content" ObjectID="_1842083853" r:id="rId34"/>
        </w:object>
      </w:r>
    </w:p>
    <w:p w14:paraId="4EF5A9C2" w14:textId="04E912EB" w:rsidR="00F96030" w:rsidRPr="00A07748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85pt;height:20.4pt" o:ole="">
            <v:imagedata r:id="rId35" o:title=""/>
          </v:shape>
          <o:OLEObject Type="Embed" ProgID="Equation.DSMT4" ShapeID="_x0000_i1036" DrawAspect="Content" ObjectID="_1842083854" r:id="rId36"/>
        </w:objec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p w14:paraId="35BC6A69" w14:textId="77777777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B8E95" w14:textId="2CE4140A" w:rsidR="00F35630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7EA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079" w:dyaOrig="680" w14:anchorId="525A4C2A">
          <v:shape id="_x0000_i1037" type="#_x0000_t75" style="width:103.7pt;height:33.85pt" o:ole="">
            <v:imagedata r:id="rId37" o:title=""/>
          </v:shape>
          <o:OLEObject Type="Embed" ProgID="Equation.DSMT4" ShapeID="_x0000_i1037" DrawAspect="Content" ObjectID="_1842083855" r:id="rId38"/>
        </w:object>
      </w:r>
    </w:p>
    <w:p w14:paraId="7BCDAFA9" w14:textId="47407904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6703216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Pr="00245DDD">
        <w:rPr>
          <w:rFonts w:ascii="Times New Roman" w:hAnsi="Times New Roman" w:cs="Times New Roman"/>
          <w:sz w:val="28"/>
          <w:szCs w:val="28"/>
          <w:highlight w:val="red"/>
        </w:rPr>
        <w:t>микротрещинообразование</w:t>
      </w:r>
      <w:r w:rsidR="00245DDD">
        <w:rPr>
          <w:rFonts w:ascii="Times New Roman" w:hAnsi="Times New Roman" w:cs="Times New Roman"/>
          <w:sz w:val="28"/>
          <w:szCs w:val="28"/>
        </w:rPr>
        <w:t xml:space="preserve">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образование микротрещим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</w:t>
      </w:r>
      <w:r w:rsidRPr="00507266">
        <w:rPr>
          <w:rFonts w:ascii="Times New Roman" w:hAnsi="Times New Roman" w:cs="Times New Roman"/>
          <w:sz w:val="28"/>
          <w:szCs w:val="28"/>
        </w:rPr>
        <w:lastRenderedPageBreak/>
        <w:t xml:space="preserve">смешение, кислородная нестабильность при высоких степенях делитирования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r w:rsidR="00245DDD">
        <w:rPr>
          <w:rFonts w:ascii="Times New Roman" w:hAnsi="Times New Roman" w:cs="Times New Roman"/>
          <w:sz w:val="28"/>
          <w:szCs w:val="28"/>
        </w:rPr>
        <w:t>(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богатых литием</w:t>
      </w:r>
      <w:r w:rsidR="00245DDD">
        <w:rPr>
          <w:rFonts w:ascii="Times New Roman" w:hAnsi="Times New Roman" w:cs="Times New Roman"/>
          <w:sz w:val="28"/>
          <w:szCs w:val="28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p w14:paraId="1D447F22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5500C" w14:textId="67C3E144" w:rsidR="00376127" w:rsidRPr="009726DE" w:rsidRDefault="009726D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6DE">
        <w:rPr>
          <w:rFonts w:ascii="Times New Roman" w:hAnsi="Times New Roman" w:cs="Times New Roman"/>
          <w:position w:val="-12"/>
          <w:sz w:val="28"/>
          <w:szCs w:val="28"/>
        </w:rPr>
        <w:object w:dxaOrig="3760" w:dyaOrig="400" w14:anchorId="1D68E6E1">
          <v:shape id="_x0000_i1038" type="#_x0000_t75" style="width:188.6pt;height:20.4pt" o:ole="">
            <v:imagedata r:id="rId39" o:title=""/>
          </v:shape>
          <o:OLEObject Type="Embed" ProgID="Equation.DSMT4" ShapeID="_x0000_i1038" DrawAspect="Content" ObjectID="_1842083856" r:id="rId40"/>
        </w:object>
      </w:r>
    </w:p>
    <w:p w14:paraId="32C46078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556D7" w14:textId="606938D6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="000D55DB">
        <w:rPr>
          <w:rFonts w:ascii="Times New Roman" w:hAnsi="Times New Roman" w:cs="Times New Roman"/>
          <w:sz w:val="28"/>
          <w:szCs w:val="28"/>
        </w:rPr>
        <w:t xml:space="preserve"> (</w:t>
      </w:r>
      <w:r w:rsidR="000D55DB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снижение способности батареи передавать или поглощать энергию с определённой скоростью</w:t>
      </w:r>
      <w:r w:rsidR="000D55DB">
        <w:rPr>
          <w:rFonts w:ascii="Times New Roman" w:hAnsi="Times New Roman" w:cs="Times New Roman"/>
          <w:sz w:val="28"/>
          <w:szCs w:val="28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51D5D344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циклируемого лития, деградацией графитового анода и постепенным ростом импеданса на фоне сокращения эффективной реакционной площади. Обзор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 и соавт.</w:t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(leading to irreversible capacity degradation</w:t>
      </w:r>
      <w:r w:rsidR="00A37019" w:rsidRPr="00BB19A8">
        <w:rPr>
          <w:rFonts w:ascii="Times New Roman" w:hAnsi="Times New Roman" w:cs="Times New Roman"/>
          <w:sz w:val="28"/>
          <w:szCs w:val="28"/>
          <w:highlight w:val="yellow"/>
        </w:rPr>
        <w:t xml:space="preserve"> - </w:t>
      </w:r>
      <w:r w:rsidR="00A37019" w:rsidRPr="00A37019">
        <w:rPr>
          <w:rFonts w:ascii="Times New Roman" w:hAnsi="Times New Roman" w:cs="Times New Roman"/>
          <w:sz w:val="28"/>
          <w:szCs w:val="28"/>
          <w:highlight w:val="yellow"/>
        </w:rPr>
        <w:t>Необратимая потеря ёмкости в литий-ионных аккумуляторах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3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3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/деинтеркаляции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lastRenderedPageBreak/>
        <w:t>Для LFP в диссертационной постановке целесообразно использовать зависимость</w:t>
      </w:r>
    </w:p>
    <w:p w14:paraId="55D8F883" w14:textId="77777777" w:rsidR="00561EB4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91A40" w14:textId="6F17183F" w:rsidR="00561EB4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3A31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3320" w:dyaOrig="440" w14:anchorId="55016605">
          <v:shape id="_x0000_i1039" type="#_x0000_t75" style="width:166.05pt;height:22.05pt" o:ole="">
            <v:imagedata r:id="rId41" o:title=""/>
          </v:shape>
          <o:OLEObject Type="Embed" ProgID="Equation.DSMT4" ShapeID="_x0000_i1039" DrawAspect="Content" ObjectID="_1842083857" r:id="rId42"/>
        </w:object>
      </w:r>
    </w:p>
    <w:p w14:paraId="24A7B5DB" w14:textId="77777777" w:rsidR="00561EB4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FA2A01" w14:textId="4C13F483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95CA341" w14:textId="3800C8D4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</w:p>
    <w:p w14:paraId="5CF11EAE" w14:textId="49E083EF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t xml:space="preserve">Литий-титанатные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</w:t>
      </w:r>
      <w:r w:rsidRPr="006A79FB">
        <w:rPr>
          <w:rFonts w:ascii="Times New Roman" w:hAnsi="Times New Roman" w:cs="Times New Roman"/>
          <w:sz w:val="28"/>
          <w:szCs w:val="28"/>
          <w:highlight w:val="yellow"/>
        </w:rPr>
        <w:t>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деинтеркаляции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r w:rsidR="001A49AA" w:rsidRPr="000B5788">
        <w:rPr>
          <w:rFonts w:ascii="Times New Roman" w:hAnsi="Times New Roman" w:cs="Times New Roman"/>
          <w:sz w:val="28"/>
          <w:szCs w:val="28"/>
          <w:highlight w:val="yellow"/>
        </w:rPr>
        <w:t>near-zero 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</w:t>
      </w:r>
      <w:r w:rsidRPr="007649B5">
        <w:rPr>
          <w:rFonts w:ascii="Times New Roman" w:hAnsi="Times New Roman" w:cs="Times New Roman"/>
          <w:sz w:val="28"/>
          <w:szCs w:val="28"/>
        </w:rPr>
        <w:lastRenderedPageBreak/>
        <w:t xml:space="preserve">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разрушением LTO-анода</w:t>
      </w:r>
      <w:r w:rsidRPr="007D40EA">
        <w:rPr>
          <w:rFonts w:ascii="Times New Roman" w:hAnsi="Times New Roman" w:cs="Times New Roman"/>
          <w:sz w:val="28"/>
          <w:szCs w:val="28"/>
        </w:rPr>
        <w:t xml:space="preserve"> как такового. Это подтверждается и специализированным EIS-исследованием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commentRangeStart w:id="4"/>
      <w:r w:rsidRPr="007D40EA">
        <w:rPr>
          <w:rFonts w:ascii="Times New Roman" w:hAnsi="Times New Roman" w:cs="Times New Roman"/>
          <w:sz w:val="28"/>
          <w:szCs w:val="28"/>
        </w:rPr>
        <w:t xml:space="preserve">высокоресурсной </w:t>
      </w:r>
      <w:commentRangeEnd w:id="4"/>
      <w:r w:rsidR="000B5788" w:rsidRPr="007D40EA">
        <w:rPr>
          <w:rStyle w:val="ad"/>
          <w:rFonts w:ascii="Times New Roman" w:hAnsi="Times New Roman" w:cs="Times New Roman"/>
          <w:sz w:val="28"/>
          <w:szCs w:val="28"/>
        </w:rPr>
        <w:commentReference w:id="4"/>
      </w:r>
      <w:r w:rsidRPr="007D40EA">
        <w:rPr>
          <w:rFonts w:ascii="Times New Roman" w:hAnsi="Times New Roman" w:cs="Times New Roman"/>
          <w:sz w:val="28"/>
          <w:szCs w:val="28"/>
        </w:rPr>
        <w:t>системой, на которой удобно проверять чувствительность импедансных критериев к медленным деградационным 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4CBEEF24" w:rsidR="00903768" w:rsidRDefault="008B2348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Натрий-ионные аккумуляторы</w:t>
      </w:r>
      <w:r w:rsidR="00B240AD">
        <w:rPr>
          <w:rFonts w:ascii="Times New Roman" w:hAnsi="Times New Roman" w:cs="Times New Roman"/>
          <w:sz w:val="28"/>
          <w:szCs w:val="28"/>
        </w:rPr>
        <w:t xml:space="preserve"> 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  <w:lang w:val="en-US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 xml:space="preserve"> – 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</w:t>
      </w:r>
      <w:r w:rsidRPr="008B2348">
        <w:rPr>
          <w:rFonts w:ascii="Times New Roman" w:hAnsi="Times New Roman" w:cs="Times New Roman"/>
          <w:sz w:val="28"/>
          <w:szCs w:val="28"/>
        </w:rPr>
        <w:lastRenderedPageBreak/>
        <w:t xml:space="preserve">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</w:t>
      </w:r>
      <w:commentRangeStart w:id="5"/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импедансными полукругами</w:t>
      </w:r>
      <w:commentRangeEnd w:id="5"/>
      <w:r w:rsidR="000B5788" w:rsidRPr="008B2348">
        <w:rPr>
          <w:rStyle w:val="ad"/>
          <w:rFonts w:ascii="Times New Roman" w:hAnsi="Times New Roman" w:cs="Times New Roman"/>
          <w:sz w:val="28"/>
          <w:szCs w:val="28"/>
        </w:rPr>
        <w:commentReference w:id="5"/>
      </w:r>
      <w:r w:rsidRPr="008B2348">
        <w:rPr>
          <w:rFonts w:ascii="Times New Roman" w:hAnsi="Times New Roman" w:cs="Times New Roman"/>
          <w:sz w:val="28"/>
          <w:szCs w:val="28"/>
        </w:rPr>
        <w:t>, что прямо связано с меньшей подвижностью ионов натрия и более медленным межфазным транспортом.</w:t>
      </w:r>
    </w:p>
    <w:p w14:paraId="1759A9FB" w14:textId="3B580C41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 xml:space="preserve">, что повышает энергетический барьер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Pr="008B2348">
        <w:rPr>
          <w:rFonts w:ascii="Times New Roman" w:hAnsi="Times New Roman" w:cs="Times New Roman"/>
          <w:sz w:val="28"/>
          <w:szCs w:val="28"/>
        </w:rPr>
        <w:t xml:space="preserve">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p w14:paraId="133C25A3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238E0" w14:textId="53E9192F" w:rsidR="00EE6018" w:rsidRPr="00B240AD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5407">
        <w:rPr>
          <w:rFonts w:ascii="Times New Roman" w:hAnsi="Times New Roman" w:cs="Times New Roman"/>
          <w:position w:val="-12"/>
          <w:sz w:val="28"/>
          <w:szCs w:val="28"/>
        </w:rPr>
        <w:object w:dxaOrig="3420" w:dyaOrig="400" w14:anchorId="387CB7D6">
          <v:shape id="_x0000_i1040" type="#_x0000_t75" style="width:170.85pt;height:20.4pt" o:ole="">
            <v:imagedata r:id="rId43" o:title=""/>
          </v:shape>
          <o:OLEObject Type="Embed" ProgID="Equation.DSMT4" ShapeID="_x0000_i1040" DrawAspect="Content" ObjectID="_1842083858" r:id="rId44"/>
        </w:object>
      </w:r>
      <w:r w:rsidR="00B240AD" w:rsidRPr="00B240AD">
        <w:rPr>
          <w:rFonts w:ascii="Times New Roman" w:hAnsi="Times New Roman" w:cs="Times New Roman"/>
          <w:sz w:val="28"/>
          <w:szCs w:val="28"/>
        </w:rPr>
        <w:t>,</w:t>
      </w:r>
    </w:p>
    <w:p w14:paraId="08F83134" w14:textId="77777777" w:rsidR="00EE6018" w:rsidRPr="00B240AD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B3057C" w14:textId="08113CC9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 xml:space="preserve">прогностического </w:t>
      </w:r>
      <w:r w:rsidRPr="00204A17">
        <w:rPr>
          <w:rFonts w:ascii="Times New Roman" w:hAnsi="Times New Roman" w:cs="Times New Roman"/>
          <w:sz w:val="28"/>
          <w:szCs w:val="28"/>
        </w:rPr>
        <w:lastRenderedPageBreak/>
        <w:t>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потеря циклируемого лития, 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межфазное сопротивление, 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медленный рост </w:t>
            </w:r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высокие температуры, неблагоприятное SOC-окно, экстремальный power cycling</w:t>
            </w:r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Na-ion</w:t>
            </w:r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Na-ion систем. Числовые индексы отражают 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</w:t>
      </w: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</w:t>
      </w:r>
      <w:r w:rsidRPr="00B240AD">
        <w:rPr>
          <w:rFonts w:ascii="Times New Roman" w:hAnsi="Times New Roman" w:cs="Times New Roman"/>
          <w:sz w:val="28"/>
          <w:szCs w:val="28"/>
          <w:highlight w:val="yellow"/>
        </w:rPr>
        <w:t>форме деградационной траектории</w:t>
      </w:r>
      <w:r w:rsidRPr="003A7725">
        <w:rPr>
          <w:rFonts w:ascii="Times New Roman" w:hAnsi="Times New Roman" w:cs="Times New Roman"/>
          <w:sz w:val="28"/>
          <w:szCs w:val="28"/>
        </w:rPr>
        <w:t>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lastRenderedPageBreak/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r w:rsidRPr="000A5FBD">
        <w:rPr>
          <w:rFonts w:ascii="Times New Roman" w:hAnsi="Times New Roman" w:cs="Times New Roman"/>
          <w:sz w:val="28"/>
          <w:szCs w:val="28"/>
          <w:highlight w:val="yellow"/>
        </w:rPr>
        <w:t>деградационных законов</w:t>
      </w:r>
      <w:r w:rsidRPr="00795D96">
        <w:rPr>
          <w:rFonts w:ascii="Times New Roman" w:hAnsi="Times New Roman" w:cs="Times New Roman"/>
          <w:sz w:val="28"/>
          <w:szCs w:val="28"/>
        </w:rPr>
        <w:t xml:space="preserve"> для разных химических систем. Для NMC и Na-ion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0A5FBD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189CA6C3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87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Термочувствительность</w:t>
      </w:r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</w:t>
      </w:r>
      <w:r w:rsidRPr="000A5FBD">
        <w:rPr>
          <w:rFonts w:ascii="Times New Roman" w:hAnsi="Times New Roman" w:cs="Times New Roman"/>
          <w:sz w:val="28"/>
          <w:szCs w:val="28"/>
        </w:rPr>
        <w:t>фициенты температурного ускорения</w:t>
      </w:r>
      <w:r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="000A5FBD" w:rsidRPr="000A5FBD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0A5FBD"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Pr="00E5587A">
        <w:rPr>
          <w:rFonts w:ascii="Times New Roman" w:hAnsi="Times New Roman" w:cs="Times New Roman"/>
          <w:sz w:val="28"/>
          <w:szCs w:val="28"/>
        </w:rPr>
        <w:t>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Na-ion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75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 xml:space="preserve">. В рамках настоящего исследования данные показатели рассматриваются не как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>независимые эмпирические величины, а как параметры единой диагностико-прогностической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p w14:paraId="589BB0F8" w14:textId="77777777" w:rsidR="00C40F1C" w:rsidRPr="00764CBB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FD9DDB" w14:textId="5FD59492" w:rsidR="00C40F1C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DA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6DB257FF">
          <v:shape id="_x0000_i1041" type="#_x0000_t75" style="width:106.95pt;height:33.85pt" o:ole="">
            <v:imagedata r:id="rId49" o:title=""/>
          </v:shape>
          <o:OLEObject Type="Embed" ProgID="Equation.DSMT4" ShapeID="_x0000_i1041" DrawAspect="Content" ObjectID="_1842083859" r:id="rId50"/>
        </w:object>
      </w:r>
    </w:p>
    <w:p w14:paraId="06F5E985" w14:textId="77777777" w:rsidR="00C40F1C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p w14:paraId="02B14E32" w14:textId="77777777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B0713C" w14:textId="64E8F752" w:rsidR="00C26DA0" w:rsidRDefault="007A32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2D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3159" w:dyaOrig="680" w14:anchorId="63295281">
          <v:shape id="_x0000_i1042" type="#_x0000_t75" style="width:157.95pt;height:33.85pt" o:ole="">
            <v:imagedata r:id="rId51" o:title=""/>
          </v:shape>
          <o:OLEObject Type="Embed" ProgID="Equation.DSMT4" ShapeID="_x0000_i1042" DrawAspect="Content" ObjectID="_1842083860" r:id="rId52"/>
        </w:object>
      </w:r>
    </w:p>
    <w:p w14:paraId="42179665" w14:textId="77777777" w:rsidR="00C26DA0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6A1067" w14:textId="5BDE6A9F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полученным по совмещённой токо-</w:t>
      </w:r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45D0D3D1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-оценки с </w:t>
      </w:r>
      <w:r w:rsidRPr="00AA580B">
        <w:rPr>
          <w:rFonts w:ascii="Times New Roman" w:hAnsi="Times New Roman" w:cs="Times New Roman"/>
          <w:sz w:val="28"/>
          <w:szCs w:val="28"/>
        </w:rPr>
        <w:lastRenderedPageBreak/>
        <w:t>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661B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p w14:paraId="68FB2489" w14:textId="7777777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C67851" w14:textId="6B05392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F3E6903">
          <v:shape id="_x0000_i1043" type="#_x0000_t75" style="width:96.2pt;height:33.85pt" o:ole="">
            <v:imagedata r:id="rId54" o:title=""/>
          </v:shape>
          <o:OLEObject Type="Embed" ProgID="Equation.DSMT4" ShapeID="_x0000_i1043" DrawAspect="Content" ObjectID="_1842083861" r:id="rId55"/>
        </w:object>
      </w:r>
    </w:p>
    <w:p w14:paraId="277BE207" w14:textId="26A6C25B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21498A2" w14:textId="7DF958B3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</w:t>
      </w:r>
      <w:r w:rsidR="00E042A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кость;</w:t>
      </w:r>
    </w:p>
    <w:p w14:paraId="4E4626A6" w14:textId="1CB6D09D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p w14:paraId="472FAEF6" w14:textId="77777777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C8FE2E" w14:textId="41408E29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30"/>
          <w:sz w:val="28"/>
          <w:szCs w:val="28"/>
        </w:rPr>
        <w:object w:dxaOrig="1960" w:dyaOrig="680" w14:anchorId="30A09688">
          <v:shape id="_x0000_i1044" type="#_x0000_t75" style="width:97.25pt;height:33.85pt" o:ole="">
            <v:imagedata r:id="rId56" o:title=""/>
          </v:shape>
          <o:OLEObject Type="Embed" ProgID="Equation.DSMT4" ShapeID="_x0000_i1044" DrawAspect="Content" ObjectID="_1842083862" r:id="rId57"/>
        </w:object>
      </w:r>
    </w:p>
    <w:p w14:paraId="35755446" w14:textId="2F9D64B8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p w14:paraId="1734F9E6" w14:textId="51810987" w:rsid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12"/>
          <w:sz w:val="28"/>
          <w:szCs w:val="28"/>
        </w:rPr>
        <w:object w:dxaOrig="1560" w:dyaOrig="360" w14:anchorId="47C6B96B">
          <v:shape id="_x0000_i1045" type="#_x0000_t75" style="width:77.9pt;height:17.75pt" o:ole="">
            <v:imagedata r:id="rId58" o:title=""/>
          </v:shape>
          <o:OLEObject Type="Embed" ProgID="Equation.DSMT4" ShapeID="_x0000_i1045" DrawAspect="Content" ObjectID="_1842083863" r:id="rId59"/>
        </w:object>
      </w:r>
    </w:p>
    <w:p w14:paraId="2C248A42" w14:textId="4FF39D83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p w14:paraId="0C1C48B0" w14:textId="77777777" w:rsid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C4D46F" w14:textId="43D70C12" w:rsidR="00A1102D" w:rsidRPr="00C46078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3FADD88C">
          <v:shape id="_x0000_i1046" type="#_x0000_t75" style="width:47.8pt;height:33.85pt" o:ole="">
            <v:imagedata r:id="rId60" o:title=""/>
          </v:shape>
          <o:OLEObject Type="Embed" ProgID="Equation.DSMT4" ShapeID="_x0000_i1046" DrawAspect="Content" ObjectID="_1842083864" r:id="rId61"/>
        </w:object>
      </w:r>
      <w:r w:rsidR="000342B1">
        <w:rPr>
          <w:rFonts w:ascii="Times New Roman" w:hAnsi="Times New Roman" w:cs="Times New Roman"/>
          <w:sz w:val="28"/>
          <w:szCs w:val="28"/>
        </w:rPr>
        <w:t>,</w:t>
      </w:r>
    </w:p>
    <w:p w14:paraId="1983EBCA" w14:textId="5A574E4E" w:rsidR="00A1102D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0"/>
        <w:gridCol w:w="2667"/>
        <w:gridCol w:w="2201"/>
        <w:gridCol w:w="2369"/>
      </w:tblGrid>
      <w:tr w:rsidR="00B509A7" w14:paraId="7DCA3289" w14:textId="77777777" w:rsidTr="00B509A7">
        <w:tc>
          <w:tcPr>
            <w:tcW w:w="2406" w:type="dxa"/>
          </w:tcPr>
          <w:p w14:paraId="7DEED8CD" w14:textId="40CFC229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B509A7" w:rsidRPr="00B509A7" w14:paraId="120F83B4" w14:textId="77777777" w:rsidTr="00B509A7">
        <w:tc>
          <w:tcPr>
            <w:tcW w:w="2406" w:type="dxa"/>
          </w:tcPr>
          <w:p w14:paraId="51019AF8" w14:textId="13A854D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Ёмкостная</w:t>
            </w:r>
          </w:p>
        </w:tc>
        <w:tc>
          <w:tcPr>
            <w:tcW w:w="2407" w:type="dxa"/>
          </w:tcPr>
          <w:p w14:paraId="45A2F6D5" w14:textId="203252F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640" w:dyaOrig="360" w14:anchorId="1EE898F0">
                <v:shape id="_x0000_i1047" type="#_x0000_t75" style="width:81.65pt;height:17.75pt" o:ole="">
                  <v:imagedata r:id="rId62" o:title=""/>
                </v:shape>
                <o:OLEObject Type="Embed" ProgID="Equation.DSMT4" ShapeID="_x0000_i1047" DrawAspect="Content" ObjectID="_1842083865" r:id="rId63"/>
              </w:object>
            </w:r>
          </w:p>
        </w:tc>
        <w:tc>
          <w:tcPr>
            <w:tcW w:w="2407" w:type="dxa"/>
          </w:tcPr>
          <w:p w14:paraId="17E421F2" w14:textId="0AF1A876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 xml:space="preserve">Потеря способности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накапливать заряд</w:t>
            </w:r>
          </w:p>
        </w:tc>
        <w:tc>
          <w:tcPr>
            <w:tcW w:w="2407" w:type="dxa"/>
          </w:tcPr>
          <w:p w14:paraId="25F70F37" w14:textId="4A87C8D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Слабая чувствительность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 раннему </w:t>
            </w:r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 fade</w:t>
            </w:r>
          </w:p>
        </w:tc>
      </w:tr>
      <w:tr w:rsidR="00B509A7" w:rsidRPr="00B509A7" w14:paraId="2B07B117" w14:textId="77777777" w:rsidTr="00B509A7">
        <w:tc>
          <w:tcPr>
            <w:tcW w:w="2406" w:type="dxa"/>
          </w:tcPr>
          <w:p w14:paraId="783C583E" w14:textId="18A0203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Резистивная</w:t>
            </w:r>
          </w:p>
        </w:tc>
        <w:tc>
          <w:tcPr>
            <w:tcW w:w="2407" w:type="dxa"/>
          </w:tcPr>
          <w:p w14:paraId="3E124A25" w14:textId="681E41A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20" w:dyaOrig="360" w14:anchorId="19708454">
                <v:shape id="_x0000_i1048" type="#_x0000_t75" style="width:80.6pt;height:17.75pt" o:ole="">
                  <v:imagedata r:id="rId64" o:title=""/>
                </v:shape>
                <o:OLEObject Type="Embed" ProgID="Equation.DSMT4" ShapeID="_x0000_i1048" DrawAspect="Content" ObjectID="_1842083866" r:id="rId65"/>
              </w:object>
            </w:r>
          </w:p>
        </w:tc>
        <w:tc>
          <w:tcPr>
            <w:tcW w:w="2407" w:type="dxa"/>
          </w:tcPr>
          <w:p w14:paraId="5EB33E96" w14:textId="1918E60B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 и снижение мощности</w:t>
            </w:r>
          </w:p>
        </w:tc>
        <w:tc>
          <w:tcPr>
            <w:tcW w:w="2407" w:type="dxa"/>
          </w:tcPr>
          <w:p w14:paraId="1D74F5D5" w14:textId="2C4BF578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Интегральная трактовка, без разделения механизмов</w:t>
            </w:r>
          </w:p>
        </w:tc>
      </w:tr>
      <w:tr w:rsidR="00B509A7" w:rsidRPr="00B509A7" w14:paraId="1A89E33C" w14:textId="77777777" w:rsidTr="00B509A7">
        <w:tc>
          <w:tcPr>
            <w:tcW w:w="2406" w:type="dxa"/>
          </w:tcPr>
          <w:p w14:paraId="6121887C" w14:textId="10C4295F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Импедансная</w:t>
            </w:r>
          </w:p>
        </w:tc>
        <w:tc>
          <w:tcPr>
            <w:tcW w:w="2407" w:type="dxa"/>
          </w:tcPr>
          <w:p w14:paraId="5E7DE1AD" w14:textId="54F3EC6C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60" w:dyaOrig="440" w14:anchorId="65B0F920">
                <v:shape id="_x0000_i1049" type="#_x0000_t75" style="width:122.5pt;height:22.05pt" o:ole="">
                  <v:imagedata r:id="rId66" o:title=""/>
                </v:shape>
                <o:OLEObject Type="Embed" ProgID="Equation.DSMT4" ShapeID="_x0000_i1049" DrawAspect="Content" ObjectID="_1842083867" r:id="rId67"/>
              </w:object>
            </w:r>
          </w:p>
        </w:tc>
        <w:tc>
          <w:tcPr>
            <w:tcW w:w="2407" w:type="dxa"/>
          </w:tcPr>
          <w:p w14:paraId="1E478184" w14:textId="131D1D5D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Отражает межфазную и диффузионную деградацию</w:t>
            </w:r>
          </w:p>
        </w:tc>
        <w:tc>
          <w:tcPr>
            <w:tcW w:w="2407" w:type="dxa"/>
          </w:tcPr>
          <w:p w14:paraId="38406C5C" w14:textId="6AC6CE82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Требует параметрической идентификации спектра</w:t>
            </w:r>
          </w:p>
        </w:tc>
      </w:tr>
      <w:tr w:rsidR="00B509A7" w:rsidRPr="00B509A7" w14:paraId="6EAAB412" w14:textId="77777777" w:rsidTr="00B509A7">
        <w:tc>
          <w:tcPr>
            <w:tcW w:w="2406" w:type="dxa"/>
          </w:tcPr>
          <w:p w14:paraId="36DF3829" w14:textId="20DE4B8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Комбинированная</w:t>
            </w:r>
          </w:p>
        </w:tc>
        <w:tc>
          <w:tcPr>
            <w:tcW w:w="2407" w:type="dxa"/>
          </w:tcPr>
          <w:p w14:paraId="2C7A3BB0" w14:textId="170BEC92" w:rsidR="00B509A7" w:rsidRPr="00B509A7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566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20" w:dyaOrig="440" w14:anchorId="5A5FABEE">
                <v:shape id="_x0000_i1050" type="#_x0000_t75" style="width:120.9pt;height:22.05pt" o:ole="">
                  <v:imagedata r:id="rId68" o:title=""/>
                </v:shape>
                <o:OLEObject Type="Embed" ProgID="Equation.DSMT4" ShapeID="_x0000_i1050" DrawAspect="Content" ObjectID="_1842083868" r:id="rId69"/>
              </w:object>
            </w:r>
          </w:p>
        </w:tc>
        <w:tc>
          <w:tcPr>
            <w:tcW w:w="2407" w:type="dxa"/>
          </w:tcPr>
          <w:p w14:paraId="68508AA7" w14:textId="5DF57945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</w:tcPr>
          <w:p w14:paraId="74E41FF3" w14:textId="1BD53FE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5D3828EB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 xml:space="preserve">Из таблицы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555349E6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lastRenderedPageBreak/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334A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</w:t>
      </w:r>
      <w:r w:rsidRPr="00C46078">
        <w:rPr>
          <w:rFonts w:ascii="Times New Roman" w:hAnsi="Times New Roman" w:cs="Times New Roman"/>
          <w:sz w:val="28"/>
          <w:szCs w:val="28"/>
          <w:highlight w:val="yellow"/>
        </w:rPr>
        <w:t>теоремой согласования</w:t>
      </w:r>
      <w:r w:rsidRPr="00604DBC">
        <w:rPr>
          <w:rFonts w:ascii="Times New Roman" w:hAnsi="Times New Roman" w:cs="Times New Roman"/>
          <w:sz w:val="28"/>
          <w:szCs w:val="28"/>
        </w:rPr>
        <w:t>:</w:t>
      </w:r>
    </w:p>
    <w:p w14:paraId="4223C3CF" w14:textId="77777777" w:rsidR="00604DBC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7F6B2A" w14:textId="51BADA93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D88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720" w14:anchorId="446C191F">
          <v:shape id="_x0000_i1051" type="#_x0000_t75" style="width:58.55pt;height:36.55pt" o:ole="">
            <v:imagedata r:id="rId71" o:title=""/>
          </v:shape>
          <o:OLEObject Type="Embed" ProgID="Equation.DSMT4" ShapeID="_x0000_i1051" DrawAspect="Content" ObjectID="_1842083869" r:id="rId72"/>
        </w:object>
      </w:r>
    </w:p>
    <w:p w14:paraId="1DBD6007" w14:textId="73BABD40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08F60A23" w14:textId="15F5B29B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источника,</w:t>
      </w:r>
    </w:p>
    <w:p w14:paraId="407040E3" w14:textId="3355D9FE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70BA45C1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p w14:paraId="48E48771" w14:textId="77777777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5126F" w14:textId="4567F2EC" w:rsidR="004541DF" w:rsidRP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450">
        <w:rPr>
          <w:rFonts w:ascii="Times New Roman" w:hAnsi="Times New Roman" w:cs="Times New Roman"/>
          <w:position w:val="-16"/>
          <w:sz w:val="28"/>
          <w:szCs w:val="28"/>
        </w:rPr>
        <w:object w:dxaOrig="3820" w:dyaOrig="440" w14:anchorId="7AE252E7">
          <v:shape id="_x0000_i1052" type="#_x0000_t75" style="width:190.75pt;height:22.05pt" o:ole="">
            <v:imagedata r:id="rId73" o:title=""/>
          </v:shape>
          <o:OLEObject Type="Embed" ProgID="Equation.DSMT4" ShapeID="_x0000_i1052" DrawAspect="Content" ObjectID="_1842083870" r:id="rId74"/>
        </w:object>
      </w:r>
    </w:p>
    <w:p w14:paraId="6EDCF0D2" w14:textId="711D18C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p w14:paraId="12FEEE00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579A87" w14:textId="3D369E43" w:rsidR="00593C57" w:rsidRP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901">
        <w:rPr>
          <w:rFonts w:ascii="Times New Roman" w:hAnsi="Times New Roman" w:cs="Times New Roman"/>
          <w:position w:val="-12"/>
          <w:sz w:val="28"/>
          <w:szCs w:val="28"/>
        </w:rPr>
        <w:object w:dxaOrig="1780" w:dyaOrig="360" w14:anchorId="5EF1CD4E">
          <v:shape id="_x0000_i1053" type="#_x0000_t75" style="width:88.65pt;height:17.75pt" o:ole="">
            <v:imagedata r:id="rId75" o:title=""/>
          </v:shape>
          <o:OLEObject Type="Embed" ProgID="Equation.DSMT4" ShapeID="_x0000_i1053" DrawAspect="Content" ObjectID="_1842083871" r:id="rId76"/>
        </w:object>
      </w:r>
    </w:p>
    <w:p w14:paraId="6524B429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1856E8C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764E24" w14:textId="482B6D10" w:rsidR="00700901" w:rsidRP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</w:rPr>
        <w:object w:dxaOrig="2079" w:dyaOrig="360" w14:anchorId="38F56FC8">
          <v:shape id="_x0000_i1054" type="#_x0000_t75" style="width:103.7pt;height:17.75pt" o:ole="">
            <v:imagedata r:id="rId77" o:title=""/>
          </v:shape>
          <o:OLEObject Type="Embed" ProgID="Equation.DSMT4" ShapeID="_x0000_i1054" DrawAspect="Content" ObjectID="_1842083872" r:id="rId78"/>
        </w:object>
      </w:r>
    </w:p>
    <w:p w14:paraId="6ED07B40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62334DF4" w14:textId="77777777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3.05pt;height:17.75pt" o:ole="">
            <v:imagedata r:id="rId79" o:title=""/>
          </v:shape>
          <o:OLEObject Type="Embed" ProgID="Equation.DSMT4" ShapeID="_x0000_i1055" DrawAspect="Content" ObjectID="_1842083873" r:id="rId80"/>
        </w:object>
      </w:r>
    </w:p>
    <w:p w14:paraId="786B5538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p w14:paraId="553379B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08CC6F" w14:textId="22A788B1" w:rsidR="0072389C" w:rsidRPr="006F610E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610E">
        <w:rPr>
          <w:rFonts w:ascii="Times New Roman" w:hAnsi="Times New Roman" w:cs="Times New Roman"/>
          <w:position w:val="-30"/>
          <w:sz w:val="28"/>
          <w:szCs w:val="28"/>
        </w:rPr>
        <w:object w:dxaOrig="2060" w:dyaOrig="700" w14:anchorId="5BCDF34D">
          <v:shape id="_x0000_i1056" type="#_x0000_t75" style="width:103.15pt;height:34.95pt" o:ole="">
            <v:imagedata r:id="rId81" o:title=""/>
          </v:shape>
          <o:OLEObject Type="Embed" ProgID="Equation.DSMT4" ShapeID="_x0000_i1056" DrawAspect="Content" ObjectID="_1842083874" r:id="rId82"/>
        </w:object>
      </w:r>
    </w:p>
    <w:p w14:paraId="15C6EB2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p w14:paraId="72465FDC" w14:textId="77777777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75B13E" w14:textId="77777777" w:rsidR="00B033D7" w:rsidRDefault="00B033D7" w:rsidP="008353D2">
      <w:pPr>
        <w:spacing w:line="360" w:lineRule="auto"/>
        <w:ind w:firstLine="709"/>
        <w:jc w:val="both"/>
        <w:rPr>
          <w:lang w:val="en-US"/>
        </w:rPr>
      </w:pPr>
      <w:r w:rsidRPr="00B033D7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6476E25">
          <v:shape id="_x0000_i1057" type="#_x0000_t75" style="width:106.95pt;height:33.85pt" o:ole="">
            <v:imagedata r:id="rId83" o:title=""/>
          </v:shape>
          <o:OLEObject Type="Embed" ProgID="Equation.DSMT4" ShapeID="_x0000_i1057" DrawAspect="Content" ObjectID="_1842083875" r:id="rId84"/>
        </w:object>
      </w:r>
      <w:r w:rsidRPr="00B033D7">
        <w:t xml:space="preserve"> </w:t>
      </w:r>
    </w:p>
    <w:p w14:paraId="23D6C71B" w14:textId="77777777" w:rsidR="00264EE0" w:rsidRPr="00264EE0" w:rsidRDefault="00264EE0" w:rsidP="008353D2">
      <w:pPr>
        <w:spacing w:line="360" w:lineRule="auto"/>
        <w:ind w:firstLine="709"/>
        <w:jc w:val="both"/>
        <w:rPr>
          <w:lang w:val="en-US"/>
        </w:rPr>
      </w:pPr>
    </w:p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</w:t>
      </w:r>
      <w:commentRangeStart w:id="6"/>
      <w:r w:rsidRPr="00B033D7">
        <w:rPr>
          <w:rFonts w:ascii="Times New Roman" w:hAnsi="Times New Roman" w:cs="Times New Roman"/>
          <w:sz w:val="28"/>
          <w:szCs w:val="28"/>
        </w:rPr>
        <w:t>теории деградационных процессов</w:t>
      </w:r>
      <w:commentRangeEnd w:id="6"/>
      <w:r w:rsidR="004A5453" w:rsidRPr="00B033D7">
        <w:rPr>
          <w:rStyle w:val="ad"/>
          <w:rFonts w:ascii="Times New Roman" w:hAnsi="Times New Roman" w:cs="Times New Roman"/>
          <w:sz w:val="28"/>
          <w:szCs w:val="28"/>
        </w:rPr>
        <w:commentReference w:id="6"/>
      </w:r>
      <w:r w:rsidRPr="00B033D7">
        <w:rPr>
          <w:rFonts w:ascii="Times New Roman" w:hAnsi="Times New Roman" w:cs="Times New Roman"/>
          <w:sz w:val="28"/>
          <w:szCs w:val="28"/>
        </w:rPr>
        <w:t xml:space="preserve">: остаточный ресурс равен расстоянию по деградационной координате </w:t>
      </w:r>
      <w:r w:rsidRPr="00B033D7">
        <w:rPr>
          <w:rFonts w:ascii="Times New Roman" w:hAnsi="Times New Roman" w:cs="Times New Roman"/>
          <w:sz w:val="28"/>
          <w:szCs w:val="28"/>
        </w:rPr>
        <w:lastRenderedPageBreak/>
        <w:t xml:space="preserve">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</w:t>
      </w:r>
      <w:commentRangeStart w:id="7"/>
      <w:r w:rsidRPr="00707496">
        <w:rPr>
          <w:rFonts w:ascii="Times New Roman" w:hAnsi="Times New Roman" w:cs="Times New Roman"/>
          <w:sz w:val="28"/>
          <w:szCs w:val="28"/>
        </w:rPr>
        <w:t xml:space="preserve">была построена </w:t>
      </w:r>
      <w:commentRangeEnd w:id="7"/>
      <w:r w:rsidR="004A5453" w:rsidRPr="00707496">
        <w:rPr>
          <w:rStyle w:val="ad"/>
          <w:rFonts w:ascii="Times New Roman" w:hAnsi="Times New Roman" w:cs="Times New Roman"/>
          <w:sz w:val="28"/>
          <w:szCs w:val="28"/>
        </w:rPr>
        <w:commentReference w:id="7"/>
      </w:r>
      <w:r w:rsidRPr="00707496">
        <w:rPr>
          <w:rFonts w:ascii="Times New Roman" w:hAnsi="Times New Roman" w:cs="Times New Roman"/>
          <w:sz w:val="28"/>
          <w:szCs w:val="28"/>
        </w:rPr>
        <w:t>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4E39B6F1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На рисунке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p w14:paraId="4B5B8E36" w14:textId="77777777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D6D515" w14:textId="01BD77CF" w:rsidR="00CB155F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</w:rPr>
        <w:object w:dxaOrig="1920" w:dyaOrig="400" w14:anchorId="666DD195">
          <v:shape id="_x0000_i1058" type="#_x0000_t75" style="width:96.2pt;height:20.4pt" o:ole="">
            <v:imagedata r:id="rId86" o:title=""/>
          </v:shape>
          <o:OLEObject Type="Embed" ProgID="Equation.DSMT4" ShapeID="_x0000_i1058" DrawAspect="Content" ObjectID="_1842083876" r:id="rId87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2E47732" w14:textId="1BC0DC49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2840" w:dyaOrig="440" w14:anchorId="17814122">
          <v:shape id="_x0000_i1059" type="#_x0000_t75" style="width:142.4pt;height:22.05pt" o:ole="">
            <v:imagedata r:id="rId88" o:title=""/>
          </v:shape>
          <o:OLEObject Type="Embed" ProgID="Equation.DSMT4" ShapeID="_x0000_i1059" DrawAspect="Content" ObjectID="_1842083877" r:id="rId89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4829E069" w14:textId="712CB5EB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920" w:dyaOrig="400" w14:anchorId="2994B8B5">
          <v:shape id="_x0000_i1060" type="#_x0000_t75" style="width:145.6pt;height:20.4pt" o:ole="">
            <v:imagedata r:id="rId90" o:title=""/>
          </v:shape>
          <o:OLEObject Type="Embed" ProgID="Equation.DSMT4" ShapeID="_x0000_i1060" DrawAspect="Content" ObjectID="_1842083878" r:id="rId91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FDEBFF2" w14:textId="73743C41" w:rsidR="00CB155F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28"/>
          <w:sz w:val="28"/>
          <w:szCs w:val="28"/>
        </w:rPr>
        <w:object w:dxaOrig="4180" w:dyaOrig="680" w14:anchorId="51711635">
          <v:shape id="_x0000_i1061" type="#_x0000_t75" style="width:209pt;height:33.85pt" o:ole="">
            <v:imagedata r:id="rId92" o:title=""/>
          </v:shape>
          <o:OLEObject Type="Embed" ProgID="Equation.DSMT4" ShapeID="_x0000_i1061" DrawAspect="Content" ObjectID="_1842083879" r:id="rId93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CEC976" w14:textId="77777777" w:rsid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lastRenderedPageBreak/>
        <w:t xml:space="preserve">Данная система </w:t>
      </w:r>
      <w:commentRangeStart w:id="8"/>
      <w:r w:rsidRPr="000347E1">
        <w:rPr>
          <w:rFonts w:ascii="Times New Roman" w:hAnsi="Times New Roman" w:cs="Times New Roman"/>
          <w:sz w:val="28"/>
          <w:szCs w:val="28"/>
        </w:rPr>
        <w:t>не вводится как завершённая вычислительная модель</w:t>
      </w:r>
      <w:commentRangeEnd w:id="8"/>
      <w:r w:rsidR="004A5453" w:rsidRPr="000347E1">
        <w:rPr>
          <w:rStyle w:val="ad"/>
          <w:rFonts w:ascii="Times New Roman" w:hAnsi="Times New Roman" w:cs="Times New Roman"/>
          <w:sz w:val="28"/>
          <w:szCs w:val="28"/>
        </w:rPr>
        <w:commentReference w:id="8"/>
      </w:r>
      <w:r w:rsidRPr="000347E1">
        <w:rPr>
          <w:rFonts w:ascii="Times New Roman" w:hAnsi="Times New Roman" w:cs="Times New Roman"/>
          <w:sz w:val="28"/>
          <w:szCs w:val="28"/>
        </w:rPr>
        <w:t>, а задаёт структурную иерархию параметров. В последующих главах именно она 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062" type="#_x0000_t75" style="width:74.7pt;height:17.75pt" o:ole="">
                  <v:imagedata r:id="rId94" o:title=""/>
                </v:shape>
                <o:OLEObject Type="Embed" ProgID="Equation.DSMT4" ShapeID="_x0000_i1062" DrawAspect="Content" ObjectID="_1842083880" r:id="rId95"/>
              </w:object>
            </w:r>
          </w:p>
        </w:tc>
        <w:tc>
          <w:tcPr>
            <w:tcW w:w="2407" w:type="dxa"/>
          </w:tcPr>
          <w:p w14:paraId="75ACAAE7" w14:textId="172F122F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063" type="#_x0000_t75" style="width:77.35pt;height:17.75pt" o:ole="">
                  <v:imagedata r:id="rId96" o:title=""/>
                </v:shape>
                <o:OLEObject Type="Embed" ProgID="Equation.DSMT4" ShapeID="_x0000_i1063" DrawAspect="Content" ObjectID="_1842083881" r:id="rId97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064" type="#_x0000_t75" style="width:74.15pt;height:20.4pt" o:ole="">
                  <v:imagedata r:id="rId98" o:title=""/>
                </v:shape>
                <o:OLEObject Type="Embed" ProgID="Equation.DSMT4" ShapeID="_x0000_i1064" DrawAspect="Content" ObjectID="_1842083882" r:id="rId99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065" type="#_x0000_t75" style="width:101pt;height:20.4pt" o:ole="">
                  <v:imagedata r:id="rId100" o:title=""/>
                </v:shape>
                <o:OLEObject Type="Embed" ProgID="Equation.DSMT4" ShapeID="_x0000_i1065" DrawAspect="Content" ObjectID="_1842083883" r:id="rId101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Требует знания не только заряда, но и импедансного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066" type="#_x0000_t75" style="width:88.65pt;height:17.75pt" o:ole="">
                  <v:imagedata r:id="rId102" o:title=""/>
                </v:shape>
                <o:OLEObject Type="Embed" ProgID="Equation.DSMT4" ShapeID="_x0000_i1066" DrawAspect="Content" ObjectID="_1842083884" r:id="rId103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Невозможен без модели деградационной траектории</w:t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385A5C4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lastRenderedPageBreak/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545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3DDEEF9B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p w14:paraId="2C646FFB" w14:textId="77777777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1BEC" w14:textId="4053B54C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719" w:dyaOrig="360" w14:anchorId="5CDB74D9">
          <v:shape id="_x0000_i1067" type="#_x0000_t75" style="width:86.5pt;height:18.25pt" o:ole="">
            <v:imagedata r:id="rId104" o:title=""/>
          </v:shape>
          <o:OLEObject Type="Embed" ProgID="Equation.DSMT4" ShapeID="_x0000_i1067" DrawAspect="Content" ObjectID="_1842083885" r:id="rId105"/>
        </w:object>
      </w:r>
      <w:r w:rsidRPr="00947272">
        <w:rPr>
          <w:rFonts w:ascii="Times New Roman" w:hAnsi="Times New Roman" w:cs="Times New Roman"/>
          <w:sz w:val="28"/>
          <w:szCs w:val="28"/>
        </w:rPr>
        <w:t>,</w:t>
      </w:r>
    </w:p>
    <w:p w14:paraId="7EFADA78" w14:textId="1DB50032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lastRenderedPageBreak/>
        <w:t>то при условии малости возмущения отклик по напряжению также будет гармоническим:</w:t>
      </w:r>
    </w:p>
    <w:p w14:paraId="34210667" w14:textId="2ADD9C04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39" w:dyaOrig="360" w14:anchorId="0B616DD9">
          <v:shape id="_x0000_i1068" type="#_x0000_t75" style="width:97.25pt;height:18.25pt" o:ole="">
            <v:imagedata r:id="rId106" o:title=""/>
          </v:shape>
          <o:OLEObject Type="Embed" ProgID="Equation.DSMT4" ShapeID="_x0000_i1068" DrawAspect="Content" ObjectID="_1842083886" r:id="rId107"/>
        </w:object>
      </w:r>
    </w:p>
    <w:p w14:paraId="33E50A4C" w14:textId="74C8C1C7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p w14:paraId="34539E7C" w14:textId="77777777" w:rsidR="00B76180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C048E" w14:textId="35ECE6E4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6180">
        <w:rPr>
          <w:rFonts w:ascii="Times New Roman" w:hAnsi="Times New Roman" w:cs="Times New Roman"/>
          <w:position w:val="-40"/>
          <w:sz w:val="28"/>
          <w:szCs w:val="28"/>
        </w:rPr>
        <w:object w:dxaOrig="1420" w:dyaOrig="920" w14:anchorId="4FA1F126">
          <v:shape id="_x0000_i1069" type="#_x0000_t75" style="width:71.45pt;height:46.2pt" o:ole="">
            <v:imagedata r:id="rId108" o:title=""/>
          </v:shape>
          <o:OLEObject Type="Embed" ProgID="Equation.DSMT4" ShapeID="_x0000_i1069" DrawAspect="Content" ObjectID="_1842083887" r:id="rId109"/>
        </w:objec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5893F986" w14:textId="77777777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p w14:paraId="17A50F48" w14:textId="7777777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0F2DBB" w14:textId="4013224D" w:rsidR="00AF78E0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1D5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400" w:dyaOrig="400" w14:anchorId="70603D33">
          <v:shape id="_x0000_i1070" type="#_x0000_t75" style="width:120.35pt;height:19.35pt" o:ole="">
            <v:imagedata r:id="rId110" o:title=""/>
          </v:shape>
          <o:OLEObject Type="Embed" ProgID="Equation.DSMT4" ShapeID="_x0000_i1070" DrawAspect="Content" ObjectID="_1842083888" r:id="rId111"/>
        </w:object>
      </w:r>
    </w:p>
    <w:p w14:paraId="0BF5D364" w14:textId="77777777" w:rsidR="00AF78E0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668B5C" w14:textId="087580BE" w:rsidR="002B1D51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78BD8369" w14:textId="0973AE50" w:rsidR="002B1D51" w:rsidRPr="00206F49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часть,</w:t>
      </w:r>
    </w:p>
    <w:p w14:paraId="476D571F" w14:textId="3730CE5D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lastRenderedPageBreak/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</w:t>
      </w:r>
      <w:commentRangeStart w:id="9"/>
      <w:r w:rsidRPr="00B525A8">
        <w:rPr>
          <w:rFonts w:ascii="Times New Roman" w:hAnsi="Times New Roman" w:cs="Times New Roman"/>
          <w:sz w:val="28"/>
          <w:szCs w:val="28"/>
        </w:rPr>
        <w:t xml:space="preserve">задержанные отклики </w:t>
      </w:r>
      <w:commentRangeEnd w:id="9"/>
      <w:r w:rsidR="004620A3" w:rsidRPr="00B525A8">
        <w:rPr>
          <w:rStyle w:val="ad"/>
          <w:rFonts w:ascii="Times New Roman" w:hAnsi="Times New Roman" w:cs="Times New Roman"/>
          <w:sz w:val="28"/>
          <w:szCs w:val="28"/>
        </w:rPr>
        <w:commentReference w:id="9"/>
      </w:r>
      <w:r w:rsidRPr="00B525A8">
        <w:rPr>
          <w:rFonts w:ascii="Times New Roman" w:hAnsi="Times New Roman" w:cs="Times New Roman"/>
          <w:sz w:val="28"/>
          <w:szCs w:val="28"/>
        </w:rPr>
        <w:t xml:space="preserve">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1BFA9708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</w:t>
      </w:r>
      <w:commentRangeStart w:id="10"/>
      <w:r w:rsidR="00C7323B" w:rsidRPr="00C7323B">
        <w:rPr>
          <w:rFonts w:ascii="Times New Roman" w:hAnsi="Times New Roman" w:cs="Times New Roman"/>
          <w:sz w:val="28"/>
          <w:szCs w:val="28"/>
        </w:rPr>
        <w:t>не потому, что полностью воспроизводит реальную пространственно-распределённую электрохимию</w:t>
      </w:r>
      <w:commentRangeEnd w:id="10"/>
      <w:r w:rsidR="004620A3" w:rsidRPr="00C7323B">
        <w:rPr>
          <w:rStyle w:val="ad"/>
          <w:rFonts w:ascii="Times New Roman" w:hAnsi="Times New Roman" w:cs="Times New Roman"/>
          <w:sz w:val="28"/>
          <w:szCs w:val="28"/>
        </w:rPr>
        <w:commentReference w:id="10"/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, а потому, что позволяет свести сложный спектр к набору параметров с физически интерпретируемым смыслом. В современных работах по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не только из удобства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 fitting</w:t>
      </w:r>
      <w:r w:rsidR="004620A3">
        <w:rPr>
          <w:rFonts w:ascii="Times New Roman" w:hAnsi="Times New Roman" w:cs="Times New Roman"/>
          <w:sz w:val="28"/>
          <w:szCs w:val="28"/>
        </w:rPr>
        <w:t xml:space="preserve"> </w:t>
      </w:r>
      <w:r w:rsidR="004620A3" w:rsidRPr="00297C73">
        <w:rPr>
          <w:rFonts w:ascii="Times New Roman" w:hAnsi="Times New Roman" w:cs="Times New Roman"/>
          <w:sz w:val="28"/>
          <w:szCs w:val="28"/>
          <w:highlight w:val="green"/>
        </w:rPr>
        <w:t>(Кривая аппроксимации)</w:t>
      </w:r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DB2305F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>Для последующего анализа в диссертации в качестве базовой используется эквивалентная схема, включающая омическое сопротивление, ветвь зарядопереноса и ёмкости двойного слоя, а также диффузионный элемент 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1"/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  <w:commentRangeEnd w:id="11"/>
      <w:r w:rsidR="00613359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11"/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6D699082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 xml:space="preserve">На рисунке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>диффузионного 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p w14:paraId="7B9E566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2CAA6A" w14:textId="18F38BF7" w:rsidR="004A5C3A" w:rsidRP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0"/>
          <w:sz w:val="28"/>
          <w:szCs w:val="28"/>
        </w:rPr>
        <w:object w:dxaOrig="3340" w:dyaOrig="680" w14:anchorId="4C2B4A80">
          <v:shape id="_x0000_i1071" type="#_x0000_t75" style="width:167.1pt;height:33.85pt" o:ole="">
            <v:imagedata r:id="rId113" o:title=""/>
          </v:shape>
          <o:OLEObject Type="Embed" ProgID="Equation.DSMT4" ShapeID="_x0000_i1071" DrawAspect="Content" ObjectID="_1842083889" r:id="rId114"/>
        </w:object>
      </w:r>
    </w:p>
    <w:p w14:paraId="79030E21" w14:textId="0C53019E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commentRangeStart w:id="12"/>
      <w:r w:rsidRPr="004A5C3A">
        <w:rPr>
          <w:rFonts w:ascii="Times New Roman" w:hAnsi="Times New Roman" w:cs="Times New Roman"/>
          <w:sz w:val="28"/>
          <w:szCs w:val="28"/>
        </w:rPr>
        <w:lastRenderedPageBreak/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</w:t>
      </w:r>
      <w:commentRangeEnd w:id="12"/>
      <w:r w:rsidR="00613359" w:rsidRPr="004A5C3A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  <w:r w:rsidRPr="004A5C3A">
        <w:rPr>
          <w:rFonts w:ascii="Times New Roman" w:hAnsi="Times New Roman" w:cs="Times New Roman"/>
          <w:sz w:val="28"/>
          <w:szCs w:val="28"/>
        </w:rPr>
        <w:t xml:space="preserve"> Если считать диффузию полуограниченной, то классический импеданс Варбурга имеет вид</w:t>
      </w:r>
    </w:p>
    <w:p w14:paraId="4C759CE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39C6FF" w14:textId="069EE031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420" w:dyaOrig="700" w14:anchorId="137DCC1A">
          <v:shape id="_x0000_i1072" type="#_x0000_t75" style="width:71.45pt;height:34.95pt" o:ole="">
            <v:imagedata r:id="rId115" o:title=""/>
          </v:shape>
          <o:OLEObject Type="Embed" ProgID="Equation.DSMT4" ShapeID="_x0000_i1072" DrawAspect="Content" ObjectID="_1842083890" r:id="rId116"/>
        </w:object>
      </w:r>
    </w:p>
    <w:p w14:paraId="33594DF9" w14:textId="041118F6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 xml:space="preserve">Происхождение этой формулы связано с решением второго </w:t>
      </w:r>
      <w:r w:rsidRPr="00613359">
        <w:rPr>
          <w:rFonts w:ascii="Times New Roman" w:hAnsi="Times New Roman" w:cs="Times New Roman"/>
          <w:sz w:val="28"/>
          <w:szCs w:val="28"/>
          <w:highlight w:val="yellow"/>
        </w:rPr>
        <w:t>закона Фика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</w:t>
      </w:r>
      <w:commentRangeStart w:id="13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конечнопространственную и конечнодлиновую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3"/>
      <w:r w:rsidR="00613359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13"/>
      </w:r>
      <w:r w:rsidRPr="007431E4">
        <w:rPr>
          <w:rFonts w:ascii="Times New Roman" w:hAnsi="Times New Roman" w:cs="Times New Roman"/>
          <w:sz w:val="28"/>
          <w:szCs w:val="28"/>
        </w:rPr>
        <w:t>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 xml:space="preserve"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</w:t>
      </w:r>
      <w:r w:rsidRPr="00B33E3A">
        <w:rPr>
          <w:rFonts w:ascii="Times New Roman" w:hAnsi="Times New Roman" w:cs="Times New Roman"/>
          <w:sz w:val="28"/>
          <w:szCs w:val="28"/>
        </w:rPr>
        <w:lastRenderedPageBreak/>
        <w:t>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56979310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4"/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  <w:commentRangeEnd w:id="14"/>
      <w:r w:rsidR="003719B6">
        <w:rPr>
          <w:rStyle w:val="ad"/>
          <w:rFonts w:ascii="Times New Roman" w:hAnsi="Times New Roman" w:cs="Times New Roman"/>
          <w:sz w:val="28"/>
          <w:szCs w:val="28"/>
        </w:rPr>
        <w:commentReference w:id="14"/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762A1598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>. Полукруг в средней частотной области отражает совместное 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5DB1DC0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 EIS</w:t>
      </w:r>
      <w:r w:rsidR="003719B6">
        <w:rPr>
          <w:rFonts w:ascii="Times New Roman" w:hAnsi="Times New Roman" w:cs="Times New Roman"/>
          <w:sz w:val="28"/>
          <w:szCs w:val="28"/>
        </w:rPr>
        <w:t>(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  <w:lang w:val="en-US"/>
        </w:rPr>
        <w:t>EIS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</w:rPr>
        <w:t xml:space="preserve"> в  автомобильной отрасли</w:t>
      </w:r>
      <w:r w:rsidR="003719B6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onboard- и near onboard-методам</w:t>
      </w:r>
      <w:r w:rsidR="00BE3752" w:rsidRPr="00BE3752">
        <w:rPr>
          <w:rFonts w:ascii="Times New Roman" w:hAnsi="Times New Roman" w:cs="Times New Roman"/>
          <w:sz w:val="28"/>
          <w:szCs w:val="28"/>
        </w:rPr>
        <w:t xml:space="preserve"> (</w:t>
      </w:r>
      <w:r w:rsidR="00BE3752" w:rsidRPr="00BE3752">
        <w:rPr>
          <w:rFonts w:ascii="Times New Roman" w:hAnsi="Times New Roman" w:cs="Times New Roman"/>
          <w:sz w:val="28"/>
          <w:szCs w:val="28"/>
          <w:highlight w:val="green"/>
        </w:rPr>
        <w:t>адаптивные методы</w:t>
      </w:r>
      <w:r w:rsidR="00BE3752" w:rsidRPr="00BE3752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electrochemical impedance spectroscopy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 monitoring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 w:rsidR="009E3F7B">
        <w:rPr>
          <w:rFonts w:ascii="Times New Roman" w:hAnsi="Times New Roman" w:cs="Times New Roman"/>
          <w:sz w:val="28"/>
          <w:szCs w:val="28"/>
        </w:rPr>
        <w:t>(</w:t>
      </w:r>
      <w:r w:rsidR="009E3F7B" w:rsidRPr="009E3F7B">
        <w:rPr>
          <w:rFonts w:ascii="Times New Roman" w:hAnsi="Times New Roman" w:cs="Times New Roman"/>
          <w:sz w:val="28"/>
          <w:szCs w:val="28"/>
          <w:highlight w:val="green"/>
        </w:rPr>
        <w:t>отслеживание в реальном времени</w:t>
      </w:r>
      <w:r w:rsidR="009E3F7B">
        <w:rPr>
          <w:rFonts w:ascii="Times New Roman" w:hAnsi="Times New Roman" w:cs="Times New Roman"/>
          <w:sz w:val="28"/>
          <w:szCs w:val="28"/>
        </w:rPr>
        <w:t xml:space="preserve">) </w:t>
      </w:r>
      <w:r w:rsidRPr="00573537">
        <w:rPr>
          <w:rFonts w:ascii="Times New Roman" w:hAnsi="Times New Roman" w:cs="Times New Roman"/>
          <w:sz w:val="28"/>
          <w:szCs w:val="28"/>
        </w:rPr>
        <w:t>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54ADEC78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 xml:space="preserve">На рисунке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14:paraId="556ED999" w14:textId="77777777" w:rsidTr="00156EC4">
        <w:tc>
          <w:tcPr>
            <w:tcW w:w="2406" w:type="dxa"/>
          </w:tcPr>
          <w:p w14:paraId="0F6DD168" w14:textId="3B84D059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Частотная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область</w:t>
            </w:r>
          </w:p>
        </w:tc>
        <w:tc>
          <w:tcPr>
            <w:tcW w:w="2407" w:type="dxa"/>
          </w:tcPr>
          <w:p w14:paraId="0307391C" w14:textId="7F087B79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Доминирующий процесс</w:t>
            </w:r>
          </w:p>
        </w:tc>
        <w:tc>
          <w:tcPr>
            <w:tcW w:w="2407" w:type="dxa"/>
          </w:tcPr>
          <w:p w14:paraId="47268EBC" w14:textId="5CF9B322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Основной параметр</w:t>
            </w:r>
          </w:p>
        </w:tc>
        <w:tc>
          <w:tcPr>
            <w:tcW w:w="2407" w:type="dxa"/>
          </w:tcPr>
          <w:p w14:paraId="2D3E988B" w14:textId="7DE39D7B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Диагностическое значение</w:t>
            </w:r>
          </w:p>
        </w:tc>
      </w:tr>
      <w:tr w:rsidR="00156EC4" w:rsidRPr="00156EC4" w14:paraId="36B9EC87" w14:textId="77777777" w:rsidTr="00156EC4">
        <w:tc>
          <w:tcPr>
            <w:tcW w:w="2406" w:type="dxa"/>
          </w:tcPr>
          <w:p w14:paraId="189E98E7" w14:textId="6CF640EA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2407" w:type="dxa"/>
          </w:tcPr>
          <w:p w14:paraId="175C92FD" w14:textId="38F8486B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</w:tcPr>
          <w:p w14:paraId="557FA8CF" w14:textId="18A8F15C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1D7BF02F" w14:textId="330D312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Контроль контактных и электролитных потерь</w:t>
            </w:r>
          </w:p>
        </w:tc>
      </w:tr>
      <w:tr w:rsidR="00156EC4" w:rsidRPr="00156EC4" w14:paraId="60BA4B10" w14:textId="77777777" w:rsidTr="00156EC4">
        <w:tc>
          <w:tcPr>
            <w:tcW w:w="2406" w:type="dxa"/>
          </w:tcPr>
          <w:p w14:paraId="15B3CC64" w14:textId="737BECB8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2407" w:type="dxa"/>
          </w:tcPr>
          <w:p w14:paraId="2DB4C789" w14:textId="30015631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</w:tcPr>
          <w:p w14:paraId="0B5796E2" w14:textId="0787E433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</w:p>
        </w:tc>
        <w:tc>
          <w:tcPr>
            <w:tcW w:w="2407" w:type="dxa"/>
          </w:tcPr>
          <w:p w14:paraId="3A4413D9" w14:textId="67D0DD8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чувствительная область для ранней деградации</w:t>
            </w:r>
          </w:p>
        </w:tc>
      </w:tr>
      <w:tr w:rsidR="00156EC4" w:rsidRPr="00156EC4" w14:paraId="18A39681" w14:textId="77777777" w:rsidTr="00156EC4">
        <w:tc>
          <w:tcPr>
            <w:tcW w:w="2406" w:type="dxa"/>
          </w:tcPr>
          <w:p w14:paraId="65DE9FD8" w14:textId="34839F7F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2407" w:type="dxa"/>
          </w:tcPr>
          <w:p w14:paraId="28A7050D" w14:textId="2B357A15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</w:tcPr>
          <w:p w14:paraId="2A79868F" w14:textId="29F2A209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σ</w:t>
            </w:r>
          </w:p>
        </w:tc>
        <w:tc>
          <w:tcPr>
            <w:tcW w:w="2407" w:type="dxa"/>
          </w:tcPr>
          <w:p w14:paraId="132BF6B1" w14:textId="1D48FD29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</w:t>
      </w:r>
      <w:r w:rsidRPr="000C45A7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динамического 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 diagnostics.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40F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5"/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online-estimation, hybrid models и artificial neural networks</w: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 подходы, data-driven модели</w:t>
      </w:r>
      <w:r w:rsidRPr="00596BA8">
        <w:rPr>
          <w:rFonts w:ascii="Times New Roman" w:hAnsi="Times New Roman" w:cs="Times New Roman"/>
          <w:sz w:val="28"/>
          <w:szCs w:val="28"/>
        </w:rPr>
        <w:t>, гибридные модели и импедансно-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 xml:space="preserve">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r w:rsidRPr="00596BA8">
        <w:rPr>
          <w:rFonts w:ascii="Times New Roman" w:hAnsi="Times New Roman" w:cs="Times New Roman"/>
          <w:sz w:val="28"/>
          <w:szCs w:val="28"/>
        </w:rPr>
        <w:t>.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  <w:commentRangeEnd w:id="15"/>
      <w:r w:rsidR="0007647A">
        <w:rPr>
          <w:rStyle w:val="ad"/>
          <w:rFonts w:ascii="Times New Roman" w:hAnsi="Times New Roman" w:cs="Times New Roman"/>
          <w:sz w:val="28"/>
          <w:szCs w:val="28"/>
        </w:rPr>
        <w:commentReference w:id="15"/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Эмпирические модели строятся на предположении, что деградационная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p w14:paraId="6C278C40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A30B0" w14:textId="1F7053B3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600" w:dyaOrig="360" w14:anchorId="4304055F">
          <v:shape id="_x0000_i1073" type="#_x0000_t75" style="width:80.05pt;height:18.25pt" o:ole="">
            <v:imagedata r:id="rId119" o:title=""/>
          </v:shape>
          <o:OLEObject Type="Embed" ProgID="Equation.DSMT4" ShapeID="_x0000_i1073" DrawAspect="Content" ObjectID="_1842083891" r:id="rId120"/>
        </w:object>
      </w:r>
    </w:p>
    <w:p w14:paraId="05B2B5BB" w14:textId="77777777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6E3269" w14:textId="3664669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DBB5AD5" w14:textId="349DEA80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ёмкость,</w:t>
      </w:r>
    </w:p>
    <w:p w14:paraId="323B6252" w14:textId="3841E8BC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lastRenderedPageBreak/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p w14:paraId="7183F01A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D24CB7" w14:textId="2F02EDE4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820" w:dyaOrig="400" w14:anchorId="06687CCF">
          <v:shape id="_x0000_i1074" type="#_x0000_t75" style="width:90.8pt;height:19.35pt" o:ole="">
            <v:imagedata r:id="rId121" o:title=""/>
          </v:shape>
          <o:OLEObject Type="Embed" ProgID="Equation.DSMT4" ShapeID="_x0000_i1074" DrawAspect="Content" ObjectID="_1842083892" r:id="rId122"/>
        </w:object>
      </w:r>
    </w:p>
    <w:p w14:paraId="52B4DF5D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p w14:paraId="4902C114" w14:textId="77777777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225C1" w14:textId="6E43B860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0F79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180" w:dyaOrig="380" w14:anchorId="4E3A6FCF">
          <v:shape id="_x0000_i1075" type="#_x0000_t75" style="width:109.05pt;height:18.8pt" o:ole="">
            <v:imagedata r:id="rId123" o:title=""/>
          </v:shape>
          <o:OLEObject Type="Embed" ProgID="Equation.DSMT4" ShapeID="_x0000_i1075" DrawAspect="Content" ObjectID="_1842083893" r:id="rId124"/>
        </w:object>
      </w:r>
    </w:p>
    <w:p w14:paraId="7555C430" w14:textId="77777777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68151A" w14:textId="243BE92F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</w:t>
      </w:r>
      <w:r w:rsidR="0007647A">
        <w:rPr>
          <w:rFonts w:ascii="Times New Roman" w:hAnsi="Times New Roman" w:cs="Times New Roman"/>
          <w:sz w:val="28"/>
          <w:szCs w:val="28"/>
        </w:rPr>
        <w:t>(</w:t>
      </w:r>
      <w:r w:rsidR="0007647A" w:rsidRPr="0007647A">
        <w:rPr>
          <w:rFonts w:ascii="Times New Roman" w:hAnsi="Times New Roman" w:cs="Times New Roman"/>
          <w:sz w:val="28"/>
          <w:szCs w:val="28"/>
          <w:highlight w:val="green"/>
        </w:rPr>
        <w:t>кусочно-заданные или сегментированные модели</w:t>
      </w:r>
      <w:r w:rsidR="0007647A">
        <w:rPr>
          <w:rFonts w:ascii="Times New Roman" w:hAnsi="Times New Roman" w:cs="Times New Roman"/>
          <w:sz w:val="28"/>
          <w:szCs w:val="28"/>
        </w:rPr>
        <w:t xml:space="preserve">) </w:t>
      </w:r>
      <w:r w:rsidRPr="00E90F79">
        <w:rPr>
          <w:rFonts w:ascii="Times New Roman" w:hAnsi="Times New Roman" w:cs="Times New Roman"/>
          <w:sz w:val="28"/>
          <w:szCs w:val="28"/>
        </w:rPr>
        <w:t xml:space="preserve">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</w:t>
      </w:r>
      <w:r w:rsidRPr="00E04683">
        <w:rPr>
          <w:rFonts w:ascii="Times New Roman" w:hAnsi="Times New Roman" w:cs="Times New Roman"/>
          <w:sz w:val="28"/>
          <w:szCs w:val="28"/>
          <w:highlight w:val="yellow"/>
        </w:rPr>
        <w:t>baseline</w:t>
      </w:r>
      <w:r w:rsidR="00E04683">
        <w:rPr>
          <w:rFonts w:ascii="Times New Roman" w:hAnsi="Times New Roman" w:cs="Times New Roman"/>
          <w:sz w:val="28"/>
          <w:szCs w:val="28"/>
        </w:rPr>
        <w:t xml:space="preserve"> (</w:t>
      </w:r>
      <w:r w:rsidR="00E04683" w:rsidRPr="00FB0F5F">
        <w:rPr>
          <w:rFonts w:ascii="Times New Roman" w:hAnsi="Times New Roman" w:cs="Times New Roman"/>
          <w:sz w:val="28"/>
          <w:szCs w:val="28"/>
          <w:highlight w:val="green"/>
        </w:rPr>
        <w:t>эталонные данные</w:t>
      </w:r>
      <w:r w:rsidR="00E04683">
        <w:rPr>
          <w:rFonts w:ascii="Times New Roman" w:hAnsi="Times New Roman" w:cs="Times New Roman"/>
          <w:sz w:val="28"/>
          <w:szCs w:val="28"/>
        </w:rPr>
        <w:t>)</w:t>
      </w:r>
      <w:r w:rsidRPr="00E90F79">
        <w:rPr>
          <w:rFonts w:ascii="Times New Roman" w:hAnsi="Times New Roman" w:cs="Times New Roman"/>
          <w:sz w:val="28"/>
          <w:szCs w:val="28"/>
        </w:rPr>
        <w:t>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Типичным примером является описание деградации через рост межфазного сопротивления и снижение обменного тока. Если</w:t>
      </w:r>
    </w:p>
    <w:p w14:paraId="1CAA9236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FB1C71" w14:textId="4508DC2C" w:rsidR="00E90F79" w:rsidRP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1116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578AE739">
          <v:shape id="_x0000_i1076" type="#_x0000_t75" style="width:48.35pt;height:33.85pt" o:ole="">
            <v:imagedata r:id="rId125" o:title=""/>
          </v:shape>
          <o:OLEObject Type="Embed" ProgID="Equation.DSMT4" ShapeID="_x0000_i1076" DrawAspect="Content" ObjectID="_1842083894" r:id="rId126"/>
        </w:object>
      </w:r>
    </w:p>
    <w:p w14:paraId="3F2E8AD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8840A0" w14:textId="098CC2AB" w:rsidR="0068274B" w:rsidRPr="00A66776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74B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p w14:paraId="0B8712DE" w14:textId="77777777" w:rsidR="0068274B" w:rsidRPr="00A66776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EE6027" w14:textId="301955E1" w:rsidR="0068274B" w:rsidRPr="009D4820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4480" w:dyaOrig="680" w14:anchorId="22DC900F">
          <v:shape id="_x0000_i1077" type="#_x0000_t75" style="width:224.05pt;height:33.85pt" o:ole="">
            <v:imagedata r:id="rId127" o:title=""/>
          </v:shape>
          <o:OLEObject Type="Embed" ProgID="Equation.DSMT4" ShapeID="_x0000_i1077" DrawAspect="Content" ObjectID="_1842083895" r:id="rId128"/>
        </w:object>
      </w:r>
      <w:r w:rsidR="009D4820">
        <w:rPr>
          <w:rFonts w:ascii="Times New Roman" w:hAnsi="Times New Roman" w:cs="Times New Roman"/>
          <w:sz w:val="28"/>
          <w:szCs w:val="28"/>
        </w:rPr>
        <w:t>,</w:t>
      </w:r>
    </w:p>
    <w:p w14:paraId="1A2BDA86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B1D9B9" w14:textId="461616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lastRenderedPageBreak/>
        <w:t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4A063E54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A66776" w:rsidRPr="00A667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методы с использованием наблюдателей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>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4A34C493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частицные фильтры, </w:t>
      </w:r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 observers, sliding-mode</w:t>
      </w:r>
      <w:r w:rsidR="00645B72">
        <w:rPr>
          <w:rFonts w:ascii="Times New Roman" w:hAnsi="Times New Roman" w:cs="Times New Roman"/>
          <w:sz w:val="28"/>
          <w:szCs w:val="28"/>
        </w:rPr>
        <w:t xml:space="preserve"> (</w:t>
      </w:r>
      <w:r w:rsidR="00645B72" w:rsidRPr="00963AA9">
        <w:rPr>
          <w:rFonts w:ascii="Times New Roman" w:hAnsi="Times New Roman" w:cs="Times New Roman"/>
          <w:sz w:val="28"/>
          <w:szCs w:val="28"/>
          <w:highlight w:val="green"/>
        </w:rPr>
        <w:t>Основанное на гистерезисе управление скользящим режимом</w:t>
      </w:r>
      <w:r w:rsidR="00645B72">
        <w:rPr>
          <w:rFonts w:ascii="Times New Roman" w:hAnsi="Times New Roman" w:cs="Times New Roman"/>
          <w:sz w:val="28"/>
          <w:szCs w:val="28"/>
        </w:rPr>
        <w:t>)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p w14:paraId="5DEBC15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4EC70B" w14:textId="5CAC5158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14"/>
          <w:sz w:val="28"/>
          <w:szCs w:val="28"/>
        </w:rPr>
        <w:object w:dxaOrig="2020" w:dyaOrig="400" w14:anchorId="10DC2640">
          <v:shape id="_x0000_i1078" type="#_x0000_t75" style="width:101.55pt;height:19.35pt" o:ole="">
            <v:imagedata r:id="rId129" o:title=""/>
          </v:shape>
          <o:OLEObject Type="Embed" ProgID="Equation.DSMT4" ShapeID="_x0000_i1078" DrawAspect="Content" ObjectID="_1842083896" r:id="rId130"/>
        </w:objec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5B6EA7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00" w:dyaOrig="400" w14:anchorId="1EE242FB">
          <v:shape id="_x0000_i1079" type="#_x0000_t75" style="width:74.7pt;height:19.35pt" o:ole="">
            <v:imagedata r:id="rId131" o:title=""/>
          </v:shape>
          <o:OLEObject Type="Embed" ProgID="Equation.DSMT4" ShapeID="_x0000_i1079" DrawAspect="Content" ObjectID="_1842083897" r:id="rId132"/>
        </w:object>
      </w:r>
      <w:r w:rsidRPr="00EC4694">
        <w:rPr>
          <w:rFonts w:ascii="Times New Roman" w:hAnsi="Times New Roman" w:cs="Times New Roman"/>
          <w:sz w:val="28"/>
          <w:szCs w:val="28"/>
        </w:rPr>
        <w:t>,</w:t>
      </w:r>
    </w:p>
    <w:p w14:paraId="23A12F85" w14:textId="77777777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29112D" w14:textId="6C451A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41B04E0" w14:textId="452837BB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состояний,</w:t>
      </w:r>
    </w:p>
    <w:p w14:paraId="45D65C51" w14:textId="49C69DB1" w:rsidR="005B6EA7" w:rsidRPr="005B6EA7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Pr="005B6EA7">
        <w:rPr>
          <w:rFonts w:ascii="Times New Roman" w:hAnsi="Times New Roman" w:cs="Times New Roman"/>
          <w:sz w:val="28"/>
          <w:szCs w:val="28"/>
        </w:rPr>
        <w:t>,</w:t>
      </w:r>
    </w:p>
    <w:p w14:paraId="3B34F1B9" w14:textId="0B51DF0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Pr="00DF4BFB">
        <w:rPr>
          <w:rFonts w:ascii="Times New Roman" w:hAnsi="Times New Roman" w:cs="Times New Roman"/>
          <w:sz w:val="28"/>
          <w:szCs w:val="28"/>
        </w:rPr>
        <w:t>,</w:t>
      </w:r>
    </w:p>
    <w:p w14:paraId="4FCE67AE" w14:textId="575720A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lastRenderedPageBreak/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76B36CFB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сильной зависимости качества оценки от корректности базовой модели состояния. Если </w:t>
      </w:r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r w:rsidRPr="00681A90">
        <w:rPr>
          <w:rFonts w:ascii="Times New Roman" w:hAnsi="Times New Roman" w:cs="Times New Roman"/>
          <w:sz w:val="28"/>
          <w:szCs w:val="28"/>
        </w:rPr>
        <w:t xml:space="preserve"> </w:t>
      </w:r>
      <w:r w:rsidR="00860167">
        <w:rPr>
          <w:rFonts w:ascii="Times New Roman" w:hAnsi="Times New Roman" w:cs="Times New Roman"/>
          <w:sz w:val="28"/>
          <w:szCs w:val="28"/>
        </w:rPr>
        <w:t>(</w:t>
      </w:r>
      <w:r w:rsidR="00860167" w:rsidRPr="00860167">
        <w:rPr>
          <w:rFonts w:ascii="Times New Roman" w:hAnsi="Times New Roman" w:cs="Times New Roman"/>
          <w:i/>
          <w:iCs/>
          <w:sz w:val="28"/>
          <w:szCs w:val="28"/>
          <w:highlight w:val="green"/>
        </w:rPr>
        <w:t>базовая модель</w:t>
      </w:r>
      <w:r w:rsidR="00860167">
        <w:rPr>
          <w:rFonts w:ascii="Times New Roman" w:hAnsi="Times New Roman" w:cs="Times New Roman"/>
          <w:sz w:val="28"/>
          <w:szCs w:val="28"/>
        </w:rPr>
        <w:t xml:space="preserve">) </w:t>
      </w:r>
      <w:r w:rsidRPr="00681A90">
        <w:rPr>
          <w:rFonts w:ascii="Times New Roman" w:hAnsi="Times New Roman" w:cs="Times New Roman"/>
          <w:sz w:val="28"/>
          <w:szCs w:val="28"/>
        </w:rPr>
        <w:t>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1.5.4 Data-driven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и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 deep learning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модели</w:t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p w14:paraId="3A08ADE4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87FA6" w14:textId="5280A4D9" w:rsidR="00357E99" w:rsidRPr="004D25B5" w:rsidRDefault="003451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51A7">
        <w:rPr>
          <w:rFonts w:ascii="Times New Roman" w:hAnsi="Times New Roman" w:cs="Times New Roman"/>
          <w:position w:val="-14"/>
          <w:sz w:val="28"/>
          <w:szCs w:val="28"/>
        </w:rPr>
        <w:object w:dxaOrig="3300" w:dyaOrig="400" w14:anchorId="6CA6F6A7">
          <v:shape id="_x0000_i1080" type="#_x0000_t75" style="width:165.5pt;height:19.35pt" o:ole="">
            <v:imagedata r:id="rId133" o:title=""/>
          </v:shape>
          <o:OLEObject Type="Embed" ProgID="Equation.DSMT4" ShapeID="_x0000_i1080" DrawAspect="Content" ObjectID="_1842083898" r:id="rId134"/>
        </w:object>
      </w:r>
      <w:r w:rsidR="00925CE8">
        <w:rPr>
          <w:rFonts w:ascii="Times New Roman" w:hAnsi="Times New Roman" w:cs="Times New Roman"/>
          <w:sz w:val="28"/>
          <w:szCs w:val="28"/>
        </w:rPr>
        <w:t>,</w:t>
      </w:r>
    </w:p>
    <w:p w14:paraId="496CBE19" w14:textId="77777777" w:rsidR="00357E99" w:rsidRPr="004D25B5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4864CB" w14:textId="539357AE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29184676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обучением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и deployment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развертыванием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lastRenderedPageBreak/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репрезентативностью</w:t>
      </w:r>
      <w:r w:rsid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>используемых признаков. При этом интерпретируемость их решений часто остаётся ограниченной.</w:t>
      </w:r>
    </w:p>
    <w:p w14:paraId="1A4AA4C7" w14:textId="4F94CA49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EIS-ориентированные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геометрические факторы здоровья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 w:rsidRP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ансамблевое обучение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 xml:space="preserve">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ранний этап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iCs/>
          <w:sz w:val="28"/>
          <w:szCs w:val="28"/>
          <w:highlight w:val="green"/>
        </w:rPr>
        <w:t>прогноз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>)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05508">
        <w:rPr>
          <w:rFonts w:ascii="Times New Roman" w:hAnsi="Times New Roman" w:cs="Times New Roman"/>
          <w:b/>
          <w:bCs/>
          <w:iCs/>
          <w:sz w:val="28"/>
          <w:szCs w:val="28"/>
          <w:highlight w:val="magenta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657555CA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</w:t>
      </w:r>
      <w:r w:rsidR="00EE631C">
        <w:rPr>
          <w:rFonts w:ascii="Times New Roman" w:hAnsi="Times New Roman" w:cs="Times New Roman"/>
          <w:sz w:val="28"/>
          <w:szCs w:val="28"/>
        </w:rPr>
        <w:t>(</w:t>
      </w:r>
      <w:r w:rsidR="00EE631C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EE631C">
        <w:rPr>
          <w:rFonts w:ascii="Times New Roman" w:hAnsi="Times New Roman" w:cs="Times New Roman"/>
          <w:sz w:val="28"/>
          <w:szCs w:val="28"/>
        </w:rPr>
        <w:t>)</w:t>
      </w:r>
      <w:r w:rsidR="00EE631C" w:rsidRPr="00EE631C">
        <w:rPr>
          <w:rFonts w:ascii="Times New Roman" w:hAnsi="Times New Roman" w:cs="Times New Roman"/>
          <w:sz w:val="28"/>
          <w:szCs w:val="28"/>
        </w:rPr>
        <w:t xml:space="preserve"> </w:t>
      </w:r>
      <w:r w:rsidRPr="00B13293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lastRenderedPageBreak/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31C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0443F7FB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</w:t>
      </w:r>
      <w:r w:rsidR="00D20059">
        <w:rPr>
          <w:rFonts w:ascii="Times New Roman" w:hAnsi="Times New Roman" w:cs="Times New Roman"/>
          <w:sz w:val="28"/>
          <w:szCs w:val="28"/>
        </w:rPr>
        <w:t>(</w:t>
      </w:r>
      <w:r w:rsidR="00D20059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D20059">
        <w:rPr>
          <w:rFonts w:ascii="Times New Roman" w:hAnsi="Times New Roman" w:cs="Times New Roman"/>
          <w:sz w:val="28"/>
          <w:szCs w:val="28"/>
        </w:rPr>
        <w:t>)</w:t>
      </w:r>
      <w:r w:rsidR="00D20059" w:rsidRPr="00D20059">
        <w:rPr>
          <w:rFonts w:ascii="Times New Roman" w:hAnsi="Times New Roman" w:cs="Times New Roman"/>
          <w:sz w:val="28"/>
          <w:szCs w:val="28"/>
        </w:rPr>
        <w:t xml:space="preserve"> </w:t>
      </w:r>
      <w:r w:rsidRPr="00A805C0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1922910A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lastRenderedPageBreak/>
        <w:t xml:space="preserve">Импедансно-ориентированные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подчёркивает, что EIS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commentRangeStart w:id="16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</w:t>
      </w:r>
      <w:commentRangeEnd w:id="16"/>
      <w:r w:rsidR="006E296F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16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, так и </w:t>
      </w:r>
      <w:commentRangeStart w:id="17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in situ</w:t>
      </w:r>
      <w:commentRangeEnd w:id="17"/>
      <w:r w:rsidR="006E296F" w:rsidRPr="005004FB">
        <w:rPr>
          <w:rStyle w:val="ad"/>
          <w:rFonts w:ascii="Times New Roman" w:hAnsi="Times New Roman" w:cs="Times New Roman"/>
          <w:sz w:val="28"/>
          <w:szCs w:val="28"/>
        </w:rPr>
        <w:commentReference w:id="17"/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p w14:paraId="3F8EDD3F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9B3A63" w14:textId="183332B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060" w:dyaOrig="700" w14:anchorId="2DE86081">
          <v:shape id="_x0000_i1081" type="#_x0000_t75" style="width:103.15pt;height:34.95pt" o:ole="">
            <v:imagedata r:id="rId135" o:title=""/>
          </v:shape>
          <o:OLEObject Type="Embed" ProgID="Equation.DSMT4" ShapeID="_x0000_i1081" DrawAspect="Content" ObjectID="_1842083899" r:id="rId136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2F26B8B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p w14:paraId="43EDACDC" w14:textId="77777777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EC8391" w14:textId="69C47122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BBBA23E">
          <v:shape id="_x0000_i1082" type="#_x0000_t75" style="width:106.95pt;height:33.85pt" o:ole="">
            <v:imagedata r:id="rId137" o:title=""/>
          </v:shape>
          <o:OLEObject Type="Embed" ProgID="Equation.DSMT4" ShapeID="_x0000_i1082" DrawAspect="Content" ObjectID="_1842083900" r:id="rId138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6A63630B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5FBC5B9A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Именно здесь и проходит граница между существующими работами и задачей настоящей диссертации. Современные публикации подтверждают </w:t>
      </w:r>
      <w:r w:rsidRPr="00932DD5">
        <w:rPr>
          <w:rFonts w:ascii="Times New Roman" w:hAnsi="Times New Roman" w:cs="Times New Roman"/>
          <w:sz w:val="28"/>
          <w:szCs w:val="28"/>
        </w:rPr>
        <w:lastRenderedPageBreak/>
        <w:t xml:space="preserve">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</w:t>
      </w:r>
      <w:commentRangeStart w:id="18"/>
      <w:r w:rsidRPr="00932DD5">
        <w:rPr>
          <w:rFonts w:ascii="Times New Roman" w:hAnsi="Times New Roman" w:cs="Times New Roman"/>
          <w:sz w:val="28"/>
          <w:szCs w:val="28"/>
        </w:rPr>
        <w:t>не в отсутствии доказательств полезности</w:t>
      </w:r>
      <w:commentRangeEnd w:id="18"/>
      <w:r w:rsidR="006E296F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18"/>
      </w:r>
      <w:r w:rsidRPr="00932DD5">
        <w:rPr>
          <w:rFonts w:ascii="Times New Roman" w:hAnsi="Times New Roman" w:cs="Times New Roman"/>
          <w:sz w:val="28"/>
          <w:szCs w:val="28"/>
        </w:rPr>
        <w:t xml:space="preserve"> EIS, а в отсутствии универсальной и математически строгой диагностико-прогностической схемы для нестационарных тяговых режимов.</w:t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14:paraId="4ADE79A3" w14:textId="77777777" w:rsidTr="00BD58F0">
        <w:tc>
          <w:tcPr>
            <w:tcW w:w="2187" w:type="dxa"/>
          </w:tcPr>
          <w:p w14:paraId="3BB8ABC1" w14:textId="7AB2FF9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Класс моделей</w:t>
            </w:r>
          </w:p>
        </w:tc>
        <w:tc>
          <w:tcPr>
            <w:tcW w:w="2289" w:type="dxa"/>
          </w:tcPr>
          <w:p w14:paraId="36A1CF39" w14:textId="23F51D9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Основная идея</w:t>
            </w:r>
          </w:p>
        </w:tc>
        <w:tc>
          <w:tcPr>
            <w:tcW w:w="2586" w:type="dxa"/>
          </w:tcPr>
          <w:p w14:paraId="78979BD0" w14:textId="3A22B9D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Сильные стороны</w:t>
            </w:r>
          </w:p>
        </w:tc>
        <w:tc>
          <w:tcPr>
            <w:tcW w:w="2565" w:type="dxa"/>
          </w:tcPr>
          <w:p w14:paraId="6B418028" w14:textId="027FD55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Основные ограничения</w:t>
            </w:r>
          </w:p>
        </w:tc>
      </w:tr>
      <w:tr w:rsidR="00BD58F0" w14:paraId="3DA86AC8" w14:textId="77777777" w:rsidTr="00BD58F0">
        <w:tc>
          <w:tcPr>
            <w:tcW w:w="2187" w:type="dxa"/>
          </w:tcPr>
          <w:p w14:paraId="53ED4CD6" w14:textId="34B633C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Эмпирические</w:t>
            </w:r>
          </w:p>
        </w:tc>
        <w:tc>
          <w:tcPr>
            <w:tcW w:w="2289" w:type="dxa"/>
          </w:tcPr>
          <w:p w14:paraId="51A999CA" w14:textId="5B16B32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Аппроксимация траектории деградации</w:t>
            </w:r>
          </w:p>
        </w:tc>
        <w:tc>
          <w:tcPr>
            <w:tcW w:w="2586" w:type="dxa"/>
          </w:tcPr>
          <w:p w14:paraId="727DB15F" w14:textId="2A2EC6D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Простота, малая вычислительная нагрузка</w:t>
            </w:r>
          </w:p>
        </w:tc>
        <w:tc>
          <w:tcPr>
            <w:tcW w:w="2565" w:type="dxa"/>
          </w:tcPr>
          <w:p w14:paraId="5B0A854B" w14:textId="0F7A23D4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Слабая переносимость между режимами</w:t>
            </w:r>
          </w:p>
        </w:tc>
      </w:tr>
      <w:tr w:rsidR="00BD58F0" w14:paraId="23C31E31" w14:textId="77777777" w:rsidTr="00BD58F0">
        <w:tc>
          <w:tcPr>
            <w:tcW w:w="2187" w:type="dxa"/>
          </w:tcPr>
          <w:p w14:paraId="01156103" w14:textId="062E6EF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Физико химические</w:t>
            </w:r>
          </w:p>
        </w:tc>
        <w:tc>
          <w:tcPr>
            <w:tcW w:w="2289" w:type="dxa"/>
          </w:tcPr>
          <w:p w14:paraId="2C376836" w14:textId="53A3D4F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Явное описание механизмов старения</w:t>
            </w:r>
          </w:p>
        </w:tc>
        <w:tc>
          <w:tcPr>
            <w:tcW w:w="2586" w:type="dxa"/>
          </w:tcPr>
          <w:p w14:paraId="64A5BB54" w14:textId="6BD8028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интерпретируемость</w:t>
            </w:r>
          </w:p>
        </w:tc>
        <w:tc>
          <w:tcPr>
            <w:tcW w:w="2565" w:type="dxa"/>
          </w:tcPr>
          <w:p w14:paraId="45107772" w14:textId="2E4FAAD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Сложная параметризация, вычислительная тяжесть</w:t>
            </w:r>
          </w:p>
        </w:tc>
      </w:tr>
      <w:tr w:rsidR="00BD58F0" w:rsidRPr="00BD58F0" w14:paraId="7CF29B1C" w14:textId="77777777" w:rsidTr="00BD58F0">
        <w:tc>
          <w:tcPr>
            <w:tcW w:w="2187" w:type="dxa"/>
          </w:tcPr>
          <w:p w14:paraId="0F6A061C" w14:textId="45EF9DC5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Фильтрационные / observer</w:t>
            </w:r>
          </w:p>
        </w:tc>
        <w:tc>
          <w:tcPr>
            <w:tcW w:w="2289" w:type="dxa"/>
          </w:tcPr>
          <w:p w14:paraId="71791E82" w14:textId="42CBAD3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</w:tcPr>
          <w:p w14:paraId="4E946639" w14:textId="0117DC8A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Хорошая совместимость с BMS</w:t>
            </w:r>
          </w:p>
        </w:tc>
        <w:tc>
          <w:tcPr>
            <w:tcW w:w="2565" w:type="dxa"/>
          </w:tcPr>
          <w:p w14:paraId="2E22826F" w14:textId="15948D6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Сильная зависимость от базовой модели</w:t>
            </w:r>
          </w:p>
        </w:tc>
      </w:tr>
      <w:tr w:rsidR="00BD58F0" w:rsidRPr="00BD58F0" w14:paraId="30EBE12A" w14:textId="77777777" w:rsidTr="00BD58F0">
        <w:tc>
          <w:tcPr>
            <w:tcW w:w="2187" w:type="dxa"/>
          </w:tcPr>
          <w:p w14:paraId="0235899F" w14:textId="060EDBA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ML / DL</w:t>
            </w:r>
          </w:p>
        </w:tc>
        <w:tc>
          <w:tcPr>
            <w:tcW w:w="2289" w:type="dxa"/>
          </w:tcPr>
          <w:p w14:paraId="5AED4365" w14:textId="10BCC9B7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Обучение нелинейных зависимостей по данным</w:t>
            </w:r>
          </w:p>
        </w:tc>
        <w:tc>
          <w:tcPr>
            <w:tcW w:w="2586" w:type="dxa"/>
          </w:tcPr>
          <w:p w14:paraId="5B3F6118" w14:textId="42110D4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аппроксимационная гибкость</w:t>
            </w:r>
          </w:p>
        </w:tc>
        <w:tc>
          <w:tcPr>
            <w:tcW w:w="2565" w:type="dxa"/>
          </w:tcPr>
          <w:p w14:paraId="297CB9AD" w14:textId="33AD6E8D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Высокие требования к данным, ограниченная интерпретируемость</w:t>
            </w:r>
          </w:p>
        </w:tc>
      </w:tr>
      <w:tr w:rsidR="00BD58F0" w:rsidRPr="00BD58F0" w14:paraId="18E0B211" w14:textId="77777777" w:rsidTr="00BD58F0">
        <w:tc>
          <w:tcPr>
            <w:tcW w:w="2187" w:type="dxa"/>
          </w:tcPr>
          <w:p w14:paraId="6429CE64" w14:textId="4DA319C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Гибридные</w:t>
            </w:r>
          </w:p>
        </w:tc>
        <w:tc>
          <w:tcPr>
            <w:tcW w:w="2289" w:type="dxa"/>
          </w:tcPr>
          <w:p w14:paraId="32DFACC5" w14:textId="19DE3A58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Сочетание физики и data driven блока</w:t>
            </w:r>
          </w:p>
        </w:tc>
        <w:tc>
          <w:tcPr>
            <w:tcW w:w="2586" w:type="dxa"/>
          </w:tcPr>
          <w:p w14:paraId="49F3BE42" w14:textId="0933E6A9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Баланс точности и интерпретируемости</w:t>
            </w:r>
          </w:p>
        </w:tc>
        <w:tc>
          <w:tcPr>
            <w:tcW w:w="2565" w:type="dxa"/>
          </w:tcPr>
          <w:p w14:paraId="26D6C8C3" w14:textId="79B9913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Сложность настройки и верификации</w:t>
            </w:r>
          </w:p>
        </w:tc>
      </w:tr>
      <w:tr w:rsidR="00BD58F0" w:rsidRPr="00BD58F0" w14:paraId="1790B33F" w14:textId="77777777" w:rsidTr="00BD58F0">
        <w:tc>
          <w:tcPr>
            <w:tcW w:w="2187" w:type="dxa"/>
          </w:tcPr>
          <w:p w14:paraId="15A045B8" w14:textId="3CDAF81F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Импедансные</w:t>
            </w:r>
          </w:p>
        </w:tc>
        <w:tc>
          <w:tcPr>
            <w:tcW w:w="2289" w:type="dxa"/>
          </w:tcPr>
          <w:p w14:paraId="409F5872" w14:textId="2D58AFC5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Использование EIS признаков как маркеров старения</w:t>
            </w:r>
          </w:p>
        </w:tc>
        <w:tc>
          <w:tcPr>
            <w:tcW w:w="2586" w:type="dxa"/>
          </w:tcPr>
          <w:p w14:paraId="3C10D486" w14:textId="401BEE50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Ранняя чувствительность к деградации, физическая содержательность</w:t>
            </w:r>
          </w:p>
        </w:tc>
        <w:tc>
          <w:tcPr>
            <w:tcW w:w="2565" w:type="dxa"/>
          </w:tcPr>
          <w:p w14:paraId="6CB5DA9D" w14:textId="4881974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Трудности быстрого 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>Для визуального сравнения классов моделей был выполнен многокритериальный анализ по показателям физической интерпретации, 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041B59C0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lastRenderedPageBreak/>
        <w:t>На рисунке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50109C4B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не чисто эмпирической и не 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1C4F8B60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 рисунке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ускорение деградации на поздней стадии. Физическая модель значительно лучше 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519C9774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lastRenderedPageBreak/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4663305D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 рисунке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</w:t>
      </w:r>
      <w:r w:rsidRPr="00FE5D03">
        <w:rPr>
          <w:rFonts w:ascii="Times New Roman" w:hAnsi="Times New Roman" w:cs="Times New Roman"/>
          <w:sz w:val="28"/>
          <w:szCs w:val="28"/>
        </w:rPr>
        <w:lastRenderedPageBreak/>
        <w:t>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</w:t>
      </w:r>
      <w:r w:rsidRPr="006E296F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FE5D03">
        <w:rPr>
          <w:rFonts w:ascii="Times New Roman" w:hAnsi="Times New Roman" w:cs="Times New Roman"/>
          <w:sz w:val="28"/>
          <w:szCs w:val="28"/>
        </w:rPr>
        <w:t xml:space="preserve">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указывают, что наиболее интенсивно развиваются три направления: методы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>/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EC469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оценки, </w:t>
      </w:r>
      <w:r w:rsidRPr="00EC4694">
        <w:rPr>
          <w:rFonts w:ascii="Times New Roman" w:hAnsi="Times New Roman" w:cs="Times New Roman"/>
          <w:sz w:val="28"/>
          <w:szCs w:val="28"/>
        </w:rPr>
        <w:t>гибридные модели и online/near-online алгоритмы,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44B535B0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EIS для транспортных аккумуляторов прямо подчёркивают, что именно разрыв между глубокой диагностической информативностью EIS и требованиями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остаётся одним из ключевых барьеров для промышленного внедрения метода.</w:t>
      </w:r>
    </w:p>
    <w:p w14:paraId="0F847EC3" w14:textId="68054F61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исследования по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67F7AB94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инструментов ранней диагностики деградации. С другой стороны, 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EIS-параметры могут использоваться для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data-driven</w:t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5AC75049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 xml:space="preserve">На рисунке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EIS-диагностики — использование полного спектра и </w:t>
      </w:r>
      <w:r w:rsidRPr="00AE48BB">
        <w:rPr>
          <w:rFonts w:ascii="Times New Roman" w:hAnsi="Times New Roman" w:cs="Times New Roman"/>
          <w:sz w:val="28"/>
          <w:szCs w:val="28"/>
        </w:rPr>
        <w:lastRenderedPageBreak/>
        <w:t xml:space="preserve">длительных измерений. Для BMS-уровня — работа с ограниченным набором быстро доступных величин. Научный разрыв возникает в точке, где требуется перейти от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AE48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оценке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E48BB">
        <w:rPr>
          <w:rFonts w:ascii="Times New Roman" w:hAnsi="Times New Roman" w:cs="Times New Roman"/>
          <w:sz w:val="28"/>
          <w:szCs w:val="28"/>
        </w:rPr>
        <w:t xml:space="preserve">, скорости деградации и прогнозу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AE48BB">
        <w:rPr>
          <w:rFonts w:ascii="Times New Roman" w:hAnsi="Times New Roman" w:cs="Times New Roman"/>
          <w:sz w:val="28"/>
          <w:szCs w:val="28"/>
        </w:rPr>
        <w:t xml:space="preserve"> в нестационарных тяговых режимах.</w:t>
      </w:r>
    </w:p>
    <w:p w14:paraId="55138500" w14:textId="756117B9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локализует собственный предмет диссертационного исследования. Практическая польза рисунка заключается в том, что он 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ресурсо-прогнозу.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48BB">
        <w:rPr>
          <w:rFonts w:ascii="Times New Roman" w:hAnsi="Times New Roman" w:cs="Times New Roman"/>
          <w:b/>
          <w:bCs/>
          <w:sz w:val="28"/>
          <w:szCs w:val="28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6A087475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p w14:paraId="76A99768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39FB73" w14:textId="44A092A4" w:rsidR="00AE48BB" w:rsidRPr="00902FA4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820" w:dyaOrig="320" w14:anchorId="12F74532">
          <v:shape id="_x0000_i1083" type="#_x0000_t75" style="width:90.8pt;height:16.1pt" o:ole="">
            <v:imagedata r:id="rId143" o:title=""/>
          </v:shape>
          <o:OLEObject Type="Embed" ProgID="Equation.DSMT4" ShapeID="_x0000_i1083" DrawAspect="Content" ObjectID="_1842083901" r:id="rId144"/>
        </w:object>
      </w:r>
      <w:r w:rsidRPr="00902FA4">
        <w:rPr>
          <w:rFonts w:ascii="Times New Roman" w:hAnsi="Times New Roman" w:cs="Times New Roman"/>
          <w:sz w:val="28"/>
          <w:szCs w:val="28"/>
        </w:rPr>
        <w:t xml:space="preserve">, </w:t>
      </w: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780" w:dyaOrig="320" w14:anchorId="66534E5F">
          <v:shape id="_x0000_i1084" type="#_x0000_t75" style="width:88.65pt;height:16.1pt" o:ole="">
            <v:imagedata r:id="rId145" o:title=""/>
          </v:shape>
          <o:OLEObject Type="Embed" ProgID="Equation.DSMT4" ShapeID="_x0000_i1084" DrawAspect="Content" ObjectID="_1842083902" r:id="rId146"/>
        </w:object>
      </w:r>
    </w:p>
    <w:p w14:paraId="37681F3E" w14:textId="432FCD06" w:rsidR="00AE48BB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191E10ED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 xml:space="preserve">Вторая научная проблема 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model-based, data-driven и hybrid approaches</w:t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lastRenderedPageBreak/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59228C1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EIS-постановки для тяговых приложений. Современные работы по 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>onboard-EIS и dynamic EIS</w:t>
      </w:r>
      <w:r w:rsidRPr="00192726">
        <w:rPr>
          <w:rFonts w:ascii="Times New Roman" w:hAnsi="Times New Roman" w:cs="Times New Roman"/>
          <w:sz w:val="28"/>
          <w:szCs w:val="28"/>
        </w:rPr>
        <w:t xml:space="preserve"> показывают, что аппаратная и алгоритмическая адаптация спектроскопии к реальным режимам эксплуатации 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14:paraId="75A6942B" w14:textId="77777777" w:rsidTr="00084EA8">
        <w:tc>
          <w:tcPr>
            <w:tcW w:w="3209" w:type="dxa"/>
          </w:tcPr>
          <w:p w14:paraId="02AFE890" w14:textId="0153417D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Выявленная проблема</w:t>
            </w:r>
          </w:p>
        </w:tc>
        <w:tc>
          <w:tcPr>
            <w:tcW w:w="3209" w:type="dxa"/>
          </w:tcPr>
          <w:p w14:paraId="31799A48" w14:textId="05039DC5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Проявление в существующих исследованиях</w:t>
            </w:r>
          </w:p>
        </w:tc>
        <w:tc>
          <w:tcPr>
            <w:tcW w:w="3209" w:type="dxa"/>
          </w:tcPr>
          <w:p w14:paraId="212077F4" w14:textId="472ED1A8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Требуемое направление решения</w:t>
            </w:r>
          </w:p>
        </w:tc>
      </w:tr>
      <w:tr w:rsidR="00084EA8" w:rsidRPr="00084EA8" w14:paraId="21F9F8C5" w14:textId="77777777" w:rsidTr="00084EA8">
        <w:tc>
          <w:tcPr>
            <w:tcW w:w="3209" w:type="dxa"/>
          </w:tcPr>
          <w:p w14:paraId="128F2F3C" w14:textId="158C7E3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Нет единой связи между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(ω,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)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SOH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</w:p>
        </w:tc>
        <w:tc>
          <w:tcPr>
            <w:tcW w:w="3209" w:type="dxa"/>
          </w:tcPr>
          <w:p w14:paraId="1A13BCC8" w14:textId="48201A8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Диагностика и прогноз часто разобщены</w:t>
            </w:r>
          </w:p>
        </w:tc>
        <w:tc>
          <w:tcPr>
            <w:tcW w:w="3209" w:type="dxa"/>
          </w:tcPr>
          <w:p w14:paraId="023E100A" w14:textId="653A70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Построение объединённой 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диагностико-прогностической модели</w:t>
            </w:r>
          </w:p>
        </w:tc>
      </w:tr>
      <w:tr w:rsidR="00084EA8" w:rsidRPr="00084EA8" w14:paraId="31EE0012" w14:textId="77777777" w:rsidTr="00084EA8">
        <w:tc>
          <w:tcPr>
            <w:tcW w:w="3209" w:type="dxa"/>
          </w:tcPr>
          <w:p w14:paraId="0DC96CB2" w14:textId="57A35C7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Ограниченная переносимость моделей между режимами</w:t>
            </w:r>
          </w:p>
        </w:tc>
        <w:tc>
          <w:tcPr>
            <w:tcW w:w="3209" w:type="dxa"/>
          </w:tcPr>
          <w:p w14:paraId="035BABF4" w14:textId="3D077977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</w:tcPr>
          <w:p w14:paraId="6EE06776" w14:textId="2DE25B4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Включение режимных и химически специфичных параметров</w:t>
            </w:r>
          </w:p>
        </w:tc>
      </w:tr>
      <w:tr w:rsidR="00084EA8" w:rsidRPr="00084EA8" w14:paraId="2F70E85A" w14:textId="77777777" w:rsidTr="00084EA8">
        <w:tc>
          <w:tcPr>
            <w:tcW w:w="3209" w:type="dxa"/>
          </w:tcPr>
          <w:p w14:paraId="12858317" w14:textId="4E18C5E2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</w:tcPr>
          <w:p w14:paraId="2702C6F3" w14:textId="703140F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Рост импеданса начинается раньше выраженного capacity fade</w:t>
            </w:r>
          </w:p>
        </w:tc>
        <w:tc>
          <w:tcPr>
            <w:tcW w:w="3209" w:type="dxa"/>
          </w:tcPr>
          <w:p w14:paraId="30971798" w14:textId="1840D3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diff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как ресурсных признаков</w:t>
            </w:r>
          </w:p>
        </w:tc>
      </w:tr>
      <w:tr w:rsidR="00084EA8" w:rsidRPr="00084EA8" w14:paraId="731EDDE5" w14:textId="77777777" w:rsidTr="00084EA8">
        <w:tc>
          <w:tcPr>
            <w:tcW w:w="3209" w:type="dxa"/>
          </w:tcPr>
          <w:p w14:paraId="198E9F23" w14:textId="49701DD0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Сложность применения классической EIS в BMS</w:t>
            </w:r>
          </w:p>
        </w:tc>
        <w:tc>
          <w:tcPr>
            <w:tcW w:w="3209" w:type="dxa"/>
          </w:tcPr>
          <w:p w14:paraId="0F7BBE69" w14:textId="4EACC1BA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</w:tcPr>
          <w:p w14:paraId="19447A91" w14:textId="3FFA705F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084EA8" w14:paraId="71D35DEB" w14:textId="77777777" w:rsidTr="00084EA8">
        <w:tc>
          <w:tcPr>
            <w:tcW w:w="3209" w:type="dxa"/>
          </w:tcPr>
          <w:p w14:paraId="02339680" w14:textId="0C0082AD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Слабая унификация по химическим системам</w:t>
            </w:r>
          </w:p>
        </w:tc>
        <w:tc>
          <w:tcPr>
            <w:tcW w:w="3209" w:type="dxa"/>
          </w:tcPr>
          <w:p w14:paraId="10216D2B" w14:textId="19BB25F5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</w:tcPr>
          <w:p w14:paraId="6D65B4BB" w14:textId="2BFE1862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36C61A81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>Таблица показывает, что исследовательская задача не сводится к улучшению одного алгоритма аппроксимации.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>целостной концепции, в которой физически интерпретируемые импедансные признаки используются как база для online- или nea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BE43FE" w:rsidRPr="00BE43FE">
        <w:rPr>
          <w:rFonts w:ascii="Times New Roman" w:hAnsi="Times New Roman" w:cs="Times New Roman"/>
          <w:sz w:val="28"/>
          <w:szCs w:val="28"/>
        </w:rPr>
        <w:t>-</w:t>
      </w:r>
      <w:r w:rsidR="00BE43FE">
        <w:rPr>
          <w:rFonts w:ascii="Times New Roman" w:hAnsi="Times New Roman" w:cs="Times New Roman"/>
          <w:sz w:val="28"/>
          <w:szCs w:val="28"/>
          <w:lang w:val="en-US"/>
        </w:rPr>
        <w:t>online</w:t>
      </w:r>
      <w:r w:rsidR="00BE43FE" w:rsidRPr="00BE43FE">
        <w:rPr>
          <w:rFonts w:ascii="Times New Roman" w:hAnsi="Times New Roman" w:cs="Times New Roman"/>
          <w:sz w:val="28"/>
          <w:szCs w:val="28"/>
        </w:rPr>
        <w:t>-диагностики 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40D1">
        <w:rPr>
          <w:rFonts w:ascii="Times New Roman" w:hAnsi="Times New Roman" w:cs="Times New Roman"/>
          <w:b/>
          <w:bCs/>
          <w:sz w:val="28"/>
          <w:szCs w:val="28"/>
        </w:rPr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 xml:space="preserve">По результатам выполненного анализа может быть сформулирована следующая научная гипотеза: параметры комплексного импеданса тяговой </w:t>
      </w:r>
      <w:r w:rsidRPr="004A40D1">
        <w:rPr>
          <w:rFonts w:ascii="Times New Roman" w:hAnsi="Times New Roman" w:cs="Times New Roman"/>
          <w:sz w:val="28"/>
          <w:szCs w:val="28"/>
        </w:rPr>
        <w:lastRenderedPageBreak/>
        <w:t>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p w14:paraId="6886FE39" w14:textId="7777777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925CDE" w14:textId="64BA7CB4" w:rsidR="004A40D1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760" w:dyaOrig="400" w14:anchorId="0D296E56">
          <v:shape id="_x0000_i1085" type="#_x0000_t75" style="width:188.6pt;height:19.35pt" o:ole="">
            <v:imagedata r:id="rId147" o:title=""/>
          </v:shape>
          <o:OLEObject Type="Embed" ProgID="Equation.DSMT4" ShapeID="_x0000_i1085" DrawAspect="Content" ObjectID="_1842083903" r:id="rId148"/>
        </w:objec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5C693E32" w14:textId="614EF748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960" w:dyaOrig="680" w14:anchorId="2E2C4D19">
          <v:shape id="_x0000_i1086" type="#_x0000_t75" style="width:148.3pt;height:33.85pt" o:ole="">
            <v:imagedata r:id="rId149" o:title=""/>
          </v:shape>
          <o:OLEObject Type="Embed" ProgID="Equation.DSMT4" ShapeID="_x0000_i1086" DrawAspect="Content" ObjectID="_1842083904" r:id="rId150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7969">
        <w:rPr>
          <w:rFonts w:ascii="Times New Roman" w:hAnsi="Times New Roman" w:cs="Times New Roman"/>
          <w:b/>
          <w:bCs/>
          <w:sz w:val="28"/>
          <w:szCs w:val="28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>Сформировать сокращённый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5AC">
        <w:rPr>
          <w:rFonts w:ascii="Times New Roman" w:hAnsi="Times New Roman" w:cs="Times New Roman"/>
          <w:sz w:val="28"/>
          <w:szCs w:val="28"/>
        </w:rPr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673D038" w14:textId="77777777" w:rsidR="008F35AC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12FB3FCC">
            <wp:extent cx="6119495" cy="2416810"/>
            <wp:effectExtent l="0" t="0" r="0" b="254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0B578" w14:textId="6ECE1B74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 рисунке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 xml:space="preserve">ресурсный прогноз не является </w:t>
      </w:r>
      <w:r w:rsidRPr="00887D7B">
        <w:rPr>
          <w:rFonts w:ascii="Times New Roman" w:hAnsi="Times New Roman" w:cs="Times New Roman"/>
          <w:sz w:val="28"/>
          <w:szCs w:val="28"/>
        </w:rPr>
        <w:lastRenderedPageBreak/>
        <w:t>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616610D4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>, а также показаны диагностические возможности электрохимической импедансной спектроскопии. Установлено, что EIS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1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2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r>
        <w:t>Наверное нужно вставить график по реальным данным</w:t>
      </w:r>
    </w:p>
  </w:comment>
  <w:comment w:id="3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  <w:comment w:id="4" w:author="Admini" w:date="2026-06-03T09:46:00Z" w:initials="A">
    <w:p w14:paraId="49D7DC3F" w14:textId="73687728" w:rsidR="000B5788" w:rsidRDefault="000B5788">
      <w:pPr>
        <w:pStyle w:val="ae"/>
      </w:pPr>
      <w:r>
        <w:rPr>
          <w:rStyle w:val="ad"/>
        </w:rPr>
        <w:annotationRef/>
      </w:r>
      <w:r>
        <w:t>стоит перефразировать? «системой с высоким ресурсом»</w:t>
      </w:r>
    </w:p>
  </w:comment>
  <w:comment w:id="5" w:author="Admini" w:date="2026-06-03T09:48:00Z" w:initials="A">
    <w:p w14:paraId="09B02F52" w14:textId="3778A415" w:rsidR="000B5788" w:rsidRDefault="000B5788">
      <w:pPr>
        <w:pStyle w:val="ae"/>
      </w:pPr>
      <w:r>
        <w:rPr>
          <w:rStyle w:val="ad"/>
        </w:rPr>
        <w:annotationRef/>
      </w:r>
      <w:r>
        <w:t>надо расписать подробнее</w:t>
      </w:r>
    </w:p>
  </w:comment>
  <w:comment w:id="6" w:author="Admini" w:date="2026-06-04T10:32:00Z" w:initials="A">
    <w:p w14:paraId="33CFFF0C" w14:textId="24F6F864" w:rsidR="004A5453" w:rsidRDefault="004A5453">
      <w:pPr>
        <w:pStyle w:val="ae"/>
      </w:pPr>
      <w:r>
        <w:rPr>
          <w:rStyle w:val="ad"/>
        </w:rPr>
        <w:annotationRef/>
      </w:r>
      <w:r>
        <w:t>найти описание, почитать</w:t>
      </w:r>
    </w:p>
  </w:comment>
  <w:comment w:id="7" w:author="Admini" w:date="2026-06-04T10:34:00Z" w:initials="A">
    <w:p w14:paraId="31A3E2B4" w14:textId="04303778" w:rsidR="004A5453" w:rsidRDefault="004A5453">
      <w:pPr>
        <w:pStyle w:val="ae"/>
      </w:pPr>
      <w:r>
        <w:rPr>
          <w:rStyle w:val="ad"/>
        </w:rPr>
        <w:annotationRef/>
      </w:r>
      <w:r>
        <w:t>для построения нужны данные, а их нет или пока нет. Может стоит перефразировать?</w:t>
      </w:r>
    </w:p>
  </w:comment>
  <w:comment w:id="8" w:author="Admini" w:date="2026-06-04T10:38:00Z" w:initials="A">
    <w:p w14:paraId="48CCAD5E" w14:textId="02C38492" w:rsidR="004A5453" w:rsidRDefault="004A545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9" w:author="Admini" w:date="2026-06-04T10:44:00Z" w:initials="A">
    <w:p w14:paraId="37281F4C" w14:textId="766342F2" w:rsidR="004620A3" w:rsidRDefault="004620A3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0" w:author="Admini" w:date="2026-06-04T10:46:00Z" w:initials="A">
    <w:p w14:paraId="590C3426" w14:textId="5474BFC2" w:rsidR="004620A3" w:rsidRDefault="004620A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11" w:author="Admini" w:date="2026-06-04T10:50:00Z" w:initials="A">
    <w:p w14:paraId="2A99A444" w14:textId="066791E8" w:rsidR="00613359" w:rsidRDefault="00613359">
      <w:pPr>
        <w:pStyle w:val="ae"/>
      </w:pPr>
      <w:r>
        <w:rPr>
          <w:rStyle w:val="ad"/>
        </w:rPr>
        <w:annotationRef/>
      </w:r>
      <w:r>
        <w:t>перерисовать</w:t>
      </w:r>
    </w:p>
  </w:comment>
  <w:comment w:id="12" w:author="Admini" w:date="2026-06-04T10:55:00Z" w:initials="A">
    <w:p w14:paraId="4E551373" w14:textId="15E4BEA7" w:rsidR="00613359" w:rsidRDefault="00613359">
      <w:pPr>
        <w:pStyle w:val="ae"/>
      </w:pPr>
      <w:r>
        <w:rPr>
          <w:rStyle w:val="ad"/>
        </w:rPr>
        <w:annotationRef/>
      </w:r>
      <w:r>
        <w:t>стоит ли так подробно расписывать?</w:t>
      </w:r>
      <w:r>
        <w:br/>
        <w:t>это же будут читать технически грамотные люди</w:t>
      </w:r>
    </w:p>
  </w:comment>
  <w:comment w:id="13" w:author="Admini" w:date="2026-06-04T10:57:00Z" w:initials="A">
    <w:p w14:paraId="6F8F7028" w14:textId="6BDC0524" w:rsidR="00613359" w:rsidRDefault="00613359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4" w:author="Admini" w:date="2026-06-04T11:03:00Z" w:initials="A">
    <w:p w14:paraId="7E9FEE3C" w14:textId="74CC823C" w:rsidR="003719B6" w:rsidRDefault="003719B6">
      <w:pPr>
        <w:pStyle w:val="ae"/>
      </w:pPr>
      <w:r>
        <w:rPr>
          <w:rStyle w:val="ad"/>
        </w:rPr>
        <w:annotationRef/>
      </w:r>
      <w:r>
        <w:t>поменять на более выразительную картинку</w:t>
      </w:r>
    </w:p>
  </w:comment>
  <w:comment w:id="15" w:author="Admini" w:date="2026-06-04T11:23:00Z" w:initials="A">
    <w:p w14:paraId="77A8606A" w14:textId="74D97DCB" w:rsidR="0007647A" w:rsidRDefault="0007647A">
      <w:pPr>
        <w:pStyle w:val="ae"/>
      </w:pPr>
      <w:r>
        <w:rPr>
          <w:rStyle w:val="ad"/>
        </w:rPr>
        <w:annotationRef/>
      </w:r>
      <w:r>
        <w:t>наверное, можно сократить?</w:t>
      </w:r>
    </w:p>
  </w:comment>
  <w:comment w:id="16" w:author="Admini" w:date="2026-06-04T12:56:00Z" w:initials="A">
    <w:p w14:paraId="04D498B1" w14:textId="47E010D8" w:rsidR="006E296F" w:rsidRDefault="006E296F">
      <w:pPr>
        <w:pStyle w:val="ae"/>
      </w:pPr>
      <w:r>
        <w:rPr>
          <w:rStyle w:val="ad"/>
        </w:rPr>
        <w:annotationRef/>
      </w:r>
      <w:r w:rsidRPr="006E296F">
        <w:t>(от латинского «вне места») — это научный и практический термин, означающий изучение, перемещение или сохранение объектов (животных, растений, клеток или материалов) за пределами их естественной среды обитания</w:t>
      </w:r>
    </w:p>
  </w:comment>
  <w:comment w:id="17" w:author="Admini" w:date="2026-06-04T12:56:00Z" w:initials="A">
    <w:p w14:paraId="5E22F011" w14:textId="6255C458" w:rsidR="006E296F" w:rsidRDefault="006E296F">
      <w:pPr>
        <w:pStyle w:val="ae"/>
      </w:pPr>
      <w:r>
        <w:rPr>
          <w:rStyle w:val="ad"/>
        </w:rPr>
        <w:annotationRef/>
      </w:r>
      <w:r w:rsidRPr="006E296F">
        <w:t xml:space="preserve">(лат. «на месте») — это научный термин, означающий проведение исследований, наблюдений или лечение объекта </w:t>
      </w:r>
      <w:r w:rsidRPr="006E296F">
        <w:rPr>
          <w:b/>
          <w:bCs/>
        </w:rPr>
        <w:t>в его естественном состоянии, без изъятия или перемещения</w:t>
      </w:r>
      <w:r w:rsidRPr="006E296F">
        <w:t xml:space="preserve"> в искусственную среду</w:t>
      </w:r>
    </w:p>
  </w:comment>
  <w:comment w:id="18" w:author="Admini" w:date="2026-06-04T12:57:00Z" w:initials="A">
    <w:p w14:paraId="23470433" w14:textId="0D850F4A" w:rsidR="006E296F" w:rsidRDefault="006E296F">
      <w:pPr>
        <w:pStyle w:val="ae"/>
      </w:pPr>
      <w:r>
        <w:rPr>
          <w:rStyle w:val="ad"/>
        </w:rPr>
        <w:annotationRef/>
      </w:r>
      <w:r>
        <w:t>В негативном ключе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A762ED" w15:done="0"/>
  <w15:commentEx w15:paraId="39C05803" w15:done="0"/>
  <w15:commentEx w15:paraId="6B83933A" w15:done="0"/>
  <w15:commentEx w15:paraId="2DE87458" w15:done="0"/>
  <w15:commentEx w15:paraId="49D7DC3F" w15:done="0"/>
  <w15:commentEx w15:paraId="09B02F52" w15:done="0"/>
  <w15:commentEx w15:paraId="33CFFF0C" w15:done="0"/>
  <w15:commentEx w15:paraId="31A3E2B4" w15:done="0"/>
  <w15:commentEx w15:paraId="48CCAD5E" w15:done="0"/>
  <w15:commentEx w15:paraId="37281F4C" w15:done="0"/>
  <w15:commentEx w15:paraId="590C3426" w15:done="0"/>
  <w15:commentEx w15:paraId="2A99A444" w15:done="0"/>
  <w15:commentEx w15:paraId="4E551373" w15:done="0"/>
  <w15:commentEx w15:paraId="6F8F7028" w15:done="0"/>
  <w15:commentEx w15:paraId="7E9FEE3C" w15:done="0"/>
  <w15:commentEx w15:paraId="77A8606A" w15:done="0"/>
  <w15:commentEx w15:paraId="04D498B1" w15:done="0"/>
  <w15:commentEx w15:paraId="5E22F011" w15:done="0"/>
  <w15:commentEx w15:paraId="2347043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AF4519" w16cex:dateUtc="2026-05-31T05:35:00Z"/>
  <w16cex:commentExtensible w16cex:durableId="6705CF9A" w16cex:dateUtc="2026-05-31T05:45:00Z"/>
  <w16cex:commentExtensible w16cex:durableId="076C328A" w16cex:dateUtc="2026-05-31T05:52:00Z"/>
  <w16cex:commentExtensible w16cex:durableId="59BB083E" w16cex:dateUtc="2026-05-31T07:34:00Z"/>
  <w16cex:commentExtensible w16cex:durableId="7B701174" w16cex:dateUtc="2026-06-03T02:46:00Z"/>
  <w16cex:commentExtensible w16cex:durableId="568099FF" w16cex:dateUtc="2026-06-03T02:48:00Z"/>
  <w16cex:commentExtensible w16cex:durableId="6415EA65" w16cex:dateUtc="2026-06-04T03:32:00Z"/>
  <w16cex:commentExtensible w16cex:durableId="2605724D" w16cex:dateUtc="2026-06-04T03:34:00Z"/>
  <w16cex:commentExtensible w16cex:durableId="72C8E0E1" w16cex:dateUtc="2026-06-04T03:38:00Z"/>
  <w16cex:commentExtensible w16cex:durableId="2F9EB681" w16cex:dateUtc="2026-06-04T03:44:00Z"/>
  <w16cex:commentExtensible w16cex:durableId="1F8BC70B" w16cex:dateUtc="2026-06-04T03:46:00Z"/>
  <w16cex:commentExtensible w16cex:durableId="020E623B" w16cex:dateUtc="2026-06-04T03:50:00Z"/>
  <w16cex:commentExtensible w16cex:durableId="083FCAD5" w16cex:dateUtc="2026-06-04T03:55:00Z"/>
  <w16cex:commentExtensible w16cex:durableId="4DCEEA77" w16cex:dateUtc="2026-06-04T03:57:00Z"/>
  <w16cex:commentExtensible w16cex:durableId="621FDE8E" w16cex:dateUtc="2026-06-04T04:03:00Z"/>
  <w16cex:commentExtensible w16cex:durableId="224A9EB3" w16cex:dateUtc="2026-06-04T04:23:00Z"/>
  <w16cex:commentExtensible w16cex:durableId="284A7B1A" w16cex:dateUtc="2026-06-04T05:56:00Z"/>
  <w16cex:commentExtensible w16cex:durableId="2ED82348" w16cex:dateUtc="2026-06-04T05:56:00Z"/>
  <w16cex:commentExtensible w16cex:durableId="29D03024" w16cex:dateUtc="2026-06-04T05:5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A762ED" w16cid:durableId="0EAF4519"/>
  <w16cid:commentId w16cid:paraId="39C05803" w16cid:durableId="6705CF9A"/>
  <w16cid:commentId w16cid:paraId="6B83933A" w16cid:durableId="076C328A"/>
  <w16cid:commentId w16cid:paraId="2DE87458" w16cid:durableId="59BB083E"/>
  <w16cid:commentId w16cid:paraId="49D7DC3F" w16cid:durableId="7B701174"/>
  <w16cid:commentId w16cid:paraId="09B02F52" w16cid:durableId="568099FF"/>
  <w16cid:commentId w16cid:paraId="33CFFF0C" w16cid:durableId="6415EA65"/>
  <w16cid:commentId w16cid:paraId="31A3E2B4" w16cid:durableId="2605724D"/>
  <w16cid:commentId w16cid:paraId="48CCAD5E" w16cid:durableId="72C8E0E1"/>
  <w16cid:commentId w16cid:paraId="37281F4C" w16cid:durableId="2F9EB681"/>
  <w16cid:commentId w16cid:paraId="590C3426" w16cid:durableId="1F8BC70B"/>
  <w16cid:commentId w16cid:paraId="2A99A444" w16cid:durableId="020E623B"/>
  <w16cid:commentId w16cid:paraId="4E551373" w16cid:durableId="083FCAD5"/>
  <w16cid:commentId w16cid:paraId="6F8F7028" w16cid:durableId="4DCEEA77"/>
  <w16cid:commentId w16cid:paraId="7E9FEE3C" w16cid:durableId="621FDE8E"/>
  <w16cid:commentId w16cid:paraId="77A8606A" w16cid:durableId="224A9EB3"/>
  <w16cid:commentId w16cid:paraId="04D498B1" w16cid:durableId="284A7B1A"/>
  <w16cid:commentId w16cid:paraId="5E22F011" w16cid:durableId="2ED82348"/>
  <w16cid:commentId w16cid:paraId="23470433" w16cid:durableId="29D0302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eon_ssd">
    <w15:presenceInfo w15:providerId="None" w15:userId="xeon_ssd"/>
  </w15:person>
  <w15:person w15:author="Admini">
    <w15:presenceInfo w15:providerId="None" w15:userId="Admin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31DF2"/>
    <w:rsid w:val="000325D8"/>
    <w:rsid w:val="00034171"/>
    <w:rsid w:val="000342B1"/>
    <w:rsid w:val="000347E1"/>
    <w:rsid w:val="00061A05"/>
    <w:rsid w:val="0006550F"/>
    <w:rsid w:val="0007376D"/>
    <w:rsid w:val="000737B2"/>
    <w:rsid w:val="00074F0F"/>
    <w:rsid w:val="0007647A"/>
    <w:rsid w:val="0008035D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45A7"/>
    <w:rsid w:val="000D1017"/>
    <w:rsid w:val="000D55DB"/>
    <w:rsid w:val="000E1575"/>
    <w:rsid w:val="000E50F5"/>
    <w:rsid w:val="000E7EAE"/>
    <w:rsid w:val="000F5501"/>
    <w:rsid w:val="001002CD"/>
    <w:rsid w:val="001016FF"/>
    <w:rsid w:val="00110782"/>
    <w:rsid w:val="00110D50"/>
    <w:rsid w:val="00112725"/>
    <w:rsid w:val="00112792"/>
    <w:rsid w:val="00116F2B"/>
    <w:rsid w:val="00123A52"/>
    <w:rsid w:val="001250BE"/>
    <w:rsid w:val="00126604"/>
    <w:rsid w:val="00126864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92726"/>
    <w:rsid w:val="00193DC0"/>
    <w:rsid w:val="001A0B8F"/>
    <w:rsid w:val="001A49AA"/>
    <w:rsid w:val="001B3024"/>
    <w:rsid w:val="001B7A97"/>
    <w:rsid w:val="001D7450"/>
    <w:rsid w:val="001F0927"/>
    <w:rsid w:val="00204A17"/>
    <w:rsid w:val="0020557F"/>
    <w:rsid w:val="00206663"/>
    <w:rsid w:val="00206F49"/>
    <w:rsid w:val="00210611"/>
    <w:rsid w:val="002139A3"/>
    <w:rsid w:val="00216404"/>
    <w:rsid w:val="0021675A"/>
    <w:rsid w:val="00222920"/>
    <w:rsid w:val="00223448"/>
    <w:rsid w:val="00234A24"/>
    <w:rsid w:val="002358CD"/>
    <w:rsid w:val="00242C76"/>
    <w:rsid w:val="00245DDD"/>
    <w:rsid w:val="00250E7D"/>
    <w:rsid w:val="002616AB"/>
    <w:rsid w:val="002638C1"/>
    <w:rsid w:val="00264837"/>
    <w:rsid w:val="00264EE0"/>
    <w:rsid w:val="00277B04"/>
    <w:rsid w:val="00283988"/>
    <w:rsid w:val="0028792F"/>
    <w:rsid w:val="00297C73"/>
    <w:rsid w:val="002A4021"/>
    <w:rsid w:val="002A4899"/>
    <w:rsid w:val="002A4D23"/>
    <w:rsid w:val="002A4FF1"/>
    <w:rsid w:val="002A657A"/>
    <w:rsid w:val="002B1D51"/>
    <w:rsid w:val="002B1F3B"/>
    <w:rsid w:val="002B439F"/>
    <w:rsid w:val="002B5968"/>
    <w:rsid w:val="002C18E0"/>
    <w:rsid w:val="002C7B6C"/>
    <w:rsid w:val="002D334A"/>
    <w:rsid w:val="002D41D3"/>
    <w:rsid w:val="002D4A79"/>
    <w:rsid w:val="002D5799"/>
    <w:rsid w:val="002E5720"/>
    <w:rsid w:val="002F0ECC"/>
    <w:rsid w:val="002F2C01"/>
    <w:rsid w:val="003070C4"/>
    <w:rsid w:val="00320211"/>
    <w:rsid w:val="00322F87"/>
    <w:rsid w:val="00325E07"/>
    <w:rsid w:val="00331993"/>
    <w:rsid w:val="00340B36"/>
    <w:rsid w:val="00341ACE"/>
    <w:rsid w:val="003451A7"/>
    <w:rsid w:val="00351285"/>
    <w:rsid w:val="00352611"/>
    <w:rsid w:val="00355915"/>
    <w:rsid w:val="00356165"/>
    <w:rsid w:val="00356877"/>
    <w:rsid w:val="00357E99"/>
    <w:rsid w:val="00361815"/>
    <w:rsid w:val="00363772"/>
    <w:rsid w:val="003719B6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D52DF"/>
    <w:rsid w:val="003E2E09"/>
    <w:rsid w:val="003E7F28"/>
    <w:rsid w:val="003E7F8F"/>
    <w:rsid w:val="003F74CD"/>
    <w:rsid w:val="004015C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43C43"/>
    <w:rsid w:val="00445407"/>
    <w:rsid w:val="0044617A"/>
    <w:rsid w:val="00453D55"/>
    <w:rsid w:val="004541DF"/>
    <w:rsid w:val="004620A3"/>
    <w:rsid w:val="00462264"/>
    <w:rsid w:val="00473BD3"/>
    <w:rsid w:val="00474A30"/>
    <w:rsid w:val="00475DF7"/>
    <w:rsid w:val="0048460B"/>
    <w:rsid w:val="00486F2C"/>
    <w:rsid w:val="004A40D1"/>
    <w:rsid w:val="004A5453"/>
    <w:rsid w:val="004A5C3A"/>
    <w:rsid w:val="004B2EDB"/>
    <w:rsid w:val="004B5BBF"/>
    <w:rsid w:val="004B68AE"/>
    <w:rsid w:val="004C5D10"/>
    <w:rsid w:val="004D0025"/>
    <w:rsid w:val="004D0B2B"/>
    <w:rsid w:val="004D25B5"/>
    <w:rsid w:val="004D7061"/>
    <w:rsid w:val="004E108D"/>
    <w:rsid w:val="004E73D4"/>
    <w:rsid w:val="005004FB"/>
    <w:rsid w:val="005047D2"/>
    <w:rsid w:val="00505508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2D1B"/>
    <w:rsid w:val="00593C57"/>
    <w:rsid w:val="00596BA8"/>
    <w:rsid w:val="005B6EA7"/>
    <w:rsid w:val="005B7233"/>
    <w:rsid w:val="005C227D"/>
    <w:rsid w:val="005C3755"/>
    <w:rsid w:val="005C5B7F"/>
    <w:rsid w:val="005D1729"/>
    <w:rsid w:val="005D32F1"/>
    <w:rsid w:val="005D61EC"/>
    <w:rsid w:val="005E51FC"/>
    <w:rsid w:val="005F331D"/>
    <w:rsid w:val="00604DBC"/>
    <w:rsid w:val="00607463"/>
    <w:rsid w:val="0060746B"/>
    <w:rsid w:val="00613359"/>
    <w:rsid w:val="006159CC"/>
    <w:rsid w:val="00615E2B"/>
    <w:rsid w:val="00621FAF"/>
    <w:rsid w:val="00622012"/>
    <w:rsid w:val="00623599"/>
    <w:rsid w:val="006241C1"/>
    <w:rsid w:val="00624857"/>
    <w:rsid w:val="006270BF"/>
    <w:rsid w:val="0062724D"/>
    <w:rsid w:val="006317CF"/>
    <w:rsid w:val="00645B72"/>
    <w:rsid w:val="00651AA9"/>
    <w:rsid w:val="00651F8E"/>
    <w:rsid w:val="00654960"/>
    <w:rsid w:val="006565E1"/>
    <w:rsid w:val="00664B88"/>
    <w:rsid w:val="00665B75"/>
    <w:rsid w:val="006721FE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A79FB"/>
    <w:rsid w:val="006B4872"/>
    <w:rsid w:val="006B6106"/>
    <w:rsid w:val="006C7EA1"/>
    <w:rsid w:val="006D51C4"/>
    <w:rsid w:val="006D5D13"/>
    <w:rsid w:val="006D6714"/>
    <w:rsid w:val="006D6B85"/>
    <w:rsid w:val="006E296F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A0D"/>
    <w:rsid w:val="007649B5"/>
    <w:rsid w:val="007649EA"/>
    <w:rsid w:val="00764CBB"/>
    <w:rsid w:val="00770FC8"/>
    <w:rsid w:val="00772E97"/>
    <w:rsid w:val="007736E6"/>
    <w:rsid w:val="0078052A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7DAD"/>
    <w:rsid w:val="007D3272"/>
    <w:rsid w:val="007D40EA"/>
    <w:rsid w:val="007E1114"/>
    <w:rsid w:val="007F76A4"/>
    <w:rsid w:val="00801898"/>
    <w:rsid w:val="00805DD6"/>
    <w:rsid w:val="0080637A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5853"/>
    <w:rsid w:val="00854645"/>
    <w:rsid w:val="00855B00"/>
    <w:rsid w:val="00860167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2C3D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F4D"/>
    <w:rsid w:val="00905695"/>
    <w:rsid w:val="00910019"/>
    <w:rsid w:val="00914F21"/>
    <w:rsid w:val="0091661B"/>
    <w:rsid w:val="00925CE8"/>
    <w:rsid w:val="00927FAB"/>
    <w:rsid w:val="00930775"/>
    <w:rsid w:val="00931203"/>
    <w:rsid w:val="00932DD5"/>
    <w:rsid w:val="00943D79"/>
    <w:rsid w:val="00944667"/>
    <w:rsid w:val="00947272"/>
    <w:rsid w:val="00947DDC"/>
    <w:rsid w:val="00951116"/>
    <w:rsid w:val="00956A45"/>
    <w:rsid w:val="00960CFC"/>
    <w:rsid w:val="00962AB9"/>
    <w:rsid w:val="00963AA9"/>
    <w:rsid w:val="009726DE"/>
    <w:rsid w:val="00972CF7"/>
    <w:rsid w:val="009761FB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4820"/>
    <w:rsid w:val="009D7C13"/>
    <w:rsid w:val="009E2D0F"/>
    <w:rsid w:val="009E3F7B"/>
    <w:rsid w:val="00A01B55"/>
    <w:rsid w:val="00A05515"/>
    <w:rsid w:val="00A07748"/>
    <w:rsid w:val="00A1102D"/>
    <w:rsid w:val="00A15C66"/>
    <w:rsid w:val="00A17CD1"/>
    <w:rsid w:val="00A26AE9"/>
    <w:rsid w:val="00A26B7B"/>
    <w:rsid w:val="00A3109E"/>
    <w:rsid w:val="00A3636C"/>
    <w:rsid w:val="00A37019"/>
    <w:rsid w:val="00A41681"/>
    <w:rsid w:val="00A51AB9"/>
    <w:rsid w:val="00A573A9"/>
    <w:rsid w:val="00A64406"/>
    <w:rsid w:val="00A66776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865FD"/>
    <w:rsid w:val="00AA580B"/>
    <w:rsid w:val="00AB1175"/>
    <w:rsid w:val="00AB199D"/>
    <w:rsid w:val="00AC04C1"/>
    <w:rsid w:val="00AC37DB"/>
    <w:rsid w:val="00AC57A6"/>
    <w:rsid w:val="00AC6228"/>
    <w:rsid w:val="00AC77B7"/>
    <w:rsid w:val="00AD1B3E"/>
    <w:rsid w:val="00AD1CE9"/>
    <w:rsid w:val="00AD6898"/>
    <w:rsid w:val="00AE27B1"/>
    <w:rsid w:val="00AE48BB"/>
    <w:rsid w:val="00AF1D4F"/>
    <w:rsid w:val="00AF78E0"/>
    <w:rsid w:val="00B021FE"/>
    <w:rsid w:val="00B023A1"/>
    <w:rsid w:val="00B033D7"/>
    <w:rsid w:val="00B13293"/>
    <w:rsid w:val="00B154A1"/>
    <w:rsid w:val="00B22AC9"/>
    <w:rsid w:val="00B240AD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A643E"/>
    <w:rsid w:val="00BA7334"/>
    <w:rsid w:val="00BB19A8"/>
    <w:rsid w:val="00BB5F49"/>
    <w:rsid w:val="00BB7242"/>
    <w:rsid w:val="00BD489F"/>
    <w:rsid w:val="00BD58F0"/>
    <w:rsid w:val="00BE3752"/>
    <w:rsid w:val="00BE43FE"/>
    <w:rsid w:val="00C005C8"/>
    <w:rsid w:val="00C055C8"/>
    <w:rsid w:val="00C136D9"/>
    <w:rsid w:val="00C1563B"/>
    <w:rsid w:val="00C23DEF"/>
    <w:rsid w:val="00C2560F"/>
    <w:rsid w:val="00C26DA0"/>
    <w:rsid w:val="00C321F5"/>
    <w:rsid w:val="00C32908"/>
    <w:rsid w:val="00C365AA"/>
    <w:rsid w:val="00C40F1C"/>
    <w:rsid w:val="00C44176"/>
    <w:rsid w:val="00C46078"/>
    <w:rsid w:val="00C47C4E"/>
    <w:rsid w:val="00C5658D"/>
    <w:rsid w:val="00C614AC"/>
    <w:rsid w:val="00C64D1A"/>
    <w:rsid w:val="00C7323B"/>
    <w:rsid w:val="00C7366C"/>
    <w:rsid w:val="00C741F8"/>
    <w:rsid w:val="00C7589D"/>
    <w:rsid w:val="00C77969"/>
    <w:rsid w:val="00C77E42"/>
    <w:rsid w:val="00C81F23"/>
    <w:rsid w:val="00C94C2C"/>
    <w:rsid w:val="00CB0D7C"/>
    <w:rsid w:val="00CB155F"/>
    <w:rsid w:val="00CC2ACB"/>
    <w:rsid w:val="00CE291A"/>
    <w:rsid w:val="00CE3413"/>
    <w:rsid w:val="00CF0E33"/>
    <w:rsid w:val="00CF43BE"/>
    <w:rsid w:val="00D01A5E"/>
    <w:rsid w:val="00D02E7C"/>
    <w:rsid w:val="00D03686"/>
    <w:rsid w:val="00D048A9"/>
    <w:rsid w:val="00D05F77"/>
    <w:rsid w:val="00D07C8B"/>
    <w:rsid w:val="00D11DDA"/>
    <w:rsid w:val="00D1756A"/>
    <w:rsid w:val="00D20059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3247"/>
    <w:rsid w:val="00D81E00"/>
    <w:rsid w:val="00D87456"/>
    <w:rsid w:val="00DB2232"/>
    <w:rsid w:val="00DB4CC8"/>
    <w:rsid w:val="00DB5B26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42A7"/>
    <w:rsid w:val="00E04683"/>
    <w:rsid w:val="00E076D9"/>
    <w:rsid w:val="00E22459"/>
    <w:rsid w:val="00E3731B"/>
    <w:rsid w:val="00E5270D"/>
    <w:rsid w:val="00E5587A"/>
    <w:rsid w:val="00E62D89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4694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31C"/>
    <w:rsid w:val="00EE65D3"/>
    <w:rsid w:val="00EE687B"/>
    <w:rsid w:val="00EF0AEE"/>
    <w:rsid w:val="00F008CD"/>
    <w:rsid w:val="00F00EB5"/>
    <w:rsid w:val="00F04658"/>
    <w:rsid w:val="00F0482E"/>
    <w:rsid w:val="00F071E9"/>
    <w:rsid w:val="00F109F1"/>
    <w:rsid w:val="00F140F3"/>
    <w:rsid w:val="00F2275A"/>
    <w:rsid w:val="00F2638A"/>
    <w:rsid w:val="00F31616"/>
    <w:rsid w:val="00F3389B"/>
    <w:rsid w:val="00F35630"/>
    <w:rsid w:val="00F439D1"/>
    <w:rsid w:val="00F4518D"/>
    <w:rsid w:val="00F468BF"/>
    <w:rsid w:val="00F50231"/>
    <w:rsid w:val="00F5115E"/>
    <w:rsid w:val="00F548B0"/>
    <w:rsid w:val="00F54D08"/>
    <w:rsid w:val="00F564B9"/>
    <w:rsid w:val="00F63D24"/>
    <w:rsid w:val="00F732E1"/>
    <w:rsid w:val="00F76BC7"/>
    <w:rsid w:val="00F86185"/>
    <w:rsid w:val="00F9231E"/>
    <w:rsid w:val="00F96030"/>
    <w:rsid w:val="00FA5E0A"/>
    <w:rsid w:val="00FB0F5F"/>
    <w:rsid w:val="00FB514F"/>
    <w:rsid w:val="00FB5916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86016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6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84" Type="http://schemas.openxmlformats.org/officeDocument/2006/relationships/oleObject" Target="embeddings/oleObject33.bin"/><Relationship Id="rId138" Type="http://schemas.openxmlformats.org/officeDocument/2006/relationships/oleObject" Target="embeddings/oleObject58.bin"/><Relationship Id="rId107" Type="http://schemas.openxmlformats.org/officeDocument/2006/relationships/oleObject" Target="embeddings/oleObject44.bin"/><Relationship Id="rId11" Type="http://schemas.microsoft.com/office/2011/relationships/commentsExtended" Target="commentsExtended.xml"/><Relationship Id="rId32" Type="http://schemas.openxmlformats.org/officeDocument/2006/relationships/oleObject" Target="embeddings/oleObject10.bin"/><Relationship Id="rId53" Type="http://schemas.openxmlformats.org/officeDocument/2006/relationships/image" Target="media/image26.png"/><Relationship Id="rId74" Type="http://schemas.openxmlformats.org/officeDocument/2006/relationships/oleObject" Target="embeddings/oleObject28.bin"/><Relationship Id="rId128" Type="http://schemas.openxmlformats.org/officeDocument/2006/relationships/oleObject" Target="embeddings/oleObject53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microsoft.com/office/2016/09/relationships/commentsIds" Target="commentsIds.xml"/><Relationship Id="rId17" Type="http://schemas.openxmlformats.org/officeDocument/2006/relationships/oleObject" Target="embeddings/oleObject4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54" Type="http://schemas.openxmlformats.org/officeDocument/2006/relationships/image" Target="media/image27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49" Type="http://schemas.openxmlformats.org/officeDocument/2006/relationships/image" Target="media/image2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44" Type="http://schemas.openxmlformats.org/officeDocument/2006/relationships/oleObject" Target="embeddings/oleObject16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51" Type="http://schemas.openxmlformats.org/officeDocument/2006/relationships/image" Target="media/image80.png"/><Relationship Id="rId13" Type="http://schemas.microsoft.com/office/2018/08/relationships/commentsExtensible" Target="commentsExtensible.xml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openxmlformats.org/officeDocument/2006/relationships/oleObject" Target="embeddings/oleObject1.bin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openxmlformats.org/officeDocument/2006/relationships/image" Target="media/image2.wmf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oleObject" Target="embeddings/oleObject7.bin"/><Relationship Id="rId46" Type="http://schemas.openxmlformats.org/officeDocument/2006/relationships/image" Target="media/image21.png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8.bin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62" Type="http://schemas.openxmlformats.org/officeDocument/2006/relationships/image" Target="media/image31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53" Type="http://schemas.microsoft.com/office/2011/relationships/people" Target="people.xml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2.bin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image" Target="media/image66.wmf"/><Relationship Id="rId10" Type="http://schemas.openxmlformats.org/officeDocument/2006/relationships/comments" Target="comments.xml"/><Relationship Id="rId31" Type="http://schemas.openxmlformats.org/officeDocument/2006/relationships/image" Target="media/image13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image" Target="media/image10.png"/><Relationship Id="rId47" Type="http://schemas.openxmlformats.org/officeDocument/2006/relationships/image" Target="media/image22.png"/><Relationship Id="rId68" Type="http://schemas.openxmlformats.org/officeDocument/2006/relationships/image" Target="media/image34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37" Type="http://schemas.openxmlformats.org/officeDocument/2006/relationships/image" Target="media/image16.wmf"/><Relationship Id="rId58" Type="http://schemas.openxmlformats.org/officeDocument/2006/relationships/image" Target="media/image29.wmf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44" Type="http://schemas.openxmlformats.org/officeDocument/2006/relationships/oleObject" Target="embeddings/oleObject59.bin"/><Relationship Id="rId90" Type="http://schemas.openxmlformats.org/officeDocument/2006/relationships/image" Target="media/image4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1658</TotalTime>
  <Pages>72</Pages>
  <Words>13300</Words>
  <Characters>75816</Characters>
  <Application>Microsoft Office Word</Application>
  <DocSecurity>0</DocSecurity>
  <Lines>631</Lines>
  <Paragraphs>177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529</cp:revision>
  <dcterms:created xsi:type="dcterms:W3CDTF">2026-03-08T09:35:00Z</dcterms:created>
  <dcterms:modified xsi:type="dcterms:W3CDTF">2026-06-04T06:05:00Z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