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98E79" w14:textId="77777777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color w:val="000000"/>
          <w:sz w:val="28"/>
          <w:szCs w:val="28"/>
        </w:rPr>
        <w:t>ГЛАВА 1</w:t>
      </w:r>
    </w:p>
    <w:p w14:paraId="726BB95B" w14:textId="7777777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9B2CC93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5EE843" w14:textId="77777777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color w:val="000000"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13012969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9E572B" w14:textId="77777777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Тяговая аккумуляторная батарея электротранспорта представляет собой сложную многомасштабную, функционально интегрированную электрохимическую и электротехническую систему в составе электротехнического комплекса. Она определяет энергетические, динамические и тепловые свойства транспортной системы, а также её надёжность, и взаимодействует с системой управления батареей (</w:t>
      </w:r>
      <w:proofErr w:type="spellStart"/>
      <w:r>
        <w:rPr>
          <w:rFonts w:ascii="Times New Roman" w:hAnsi="Times New Roman"/>
          <w:color w:val="0000FF"/>
          <w:sz w:val="28"/>
        </w:rPr>
        <w:t>Battery</w:t>
      </w:r>
      <w:proofErr w:type="spellEnd"/>
      <w:r>
        <w:rPr>
          <w:rFonts w:ascii="Times New Roman" w:hAnsi="Times New Roman"/>
          <w:color w:val="0000FF"/>
          <w:sz w:val="28"/>
        </w:rPr>
        <w:t xml:space="preserve"> Management System, BMS), силовым преобразователем, тяговым электродвигателем, контуром рекуперации и тепловым контуром. Актуальность исследования определяется методическим противоречием между высокой информативностью внутренних электрохимических признаков и необходимостью оценивать состояние и ресурс непосредственно в нестационарных тяговых режимах. Рабочая научная новизна постановки главы состоит не во введении нового фундаментального электрохимического закона, а в системном объединении динамического комплексного импеданса Z(</w:t>
      </w:r>
      <w:proofErr w:type="spellStart"/>
      <w:proofErr w:type="gramStart"/>
      <w:r>
        <w:rPr>
          <w:rFonts w:ascii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hAnsi="Times New Roman"/>
          <w:color w:val="0000FF"/>
          <w:sz w:val="28"/>
        </w:rPr>
        <w:t>), химически адаптивной интерпретации параметров и последовательного перехода «измерение — идентификация — диагностика — скорость деградации — RUL» для NMC, LFP, LTO и Na-</w:t>
      </w:r>
      <w:proofErr w:type="spellStart"/>
      <w:r>
        <w:rPr>
          <w:rFonts w:ascii="Times New Roman" w:hAnsi="Times New Roman"/>
          <w:color w:val="0000FF"/>
          <w:sz w:val="28"/>
        </w:rPr>
        <w:t>ion</w:t>
      </w:r>
      <w:proofErr w:type="spellEnd"/>
      <w:r>
        <w:rPr>
          <w:rFonts w:ascii="Times New Roman" w:hAnsi="Times New Roman"/>
          <w:color w:val="0000FF"/>
          <w:sz w:val="28"/>
        </w:rPr>
        <w:t xml:space="preserve"> систем. Далее эта постановка используется как теоретическая основа проверяемых моделей диссертации.</w:t>
      </w:r>
    </w:p>
    <w:p w14:paraId="0B82E50A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color w:val="000000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color w:val="000000"/>
          <w:sz w:val="28"/>
          <w:szCs w:val="28"/>
        </w:rPr>
        <w:lastRenderedPageBreak/>
        <w:t>деградационное</w:t>
      </w:r>
      <w:proofErr w:type="spellEnd"/>
      <w:r w:rsidRPr="0072749C">
        <w:rPr>
          <w:rFonts w:ascii="Times New Roman" w:hAnsi="Times New Roman" w:cs="Times New Roman"/>
          <w:color w:val="000000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4CBBF306" w14:textId="77777777" w:rsidTr="0076082E">
        <w:tc>
          <w:tcPr>
            <w:tcW w:w="1943" w:type="dxa"/>
            <w:vAlign w:val="center"/>
          </w:tcPr>
          <w:p w14:paraId="379970FF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  <w:vAlign w:val="center"/>
          </w:tcPr>
          <w:p w14:paraId="1490C19A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4.75pt;height:20.25pt" o:ole="">
                  <v:imagedata r:id="rId6" o:title=""/>
                </v:shape>
                <o:OLEObject Type="Embed" ProgID="Equation.DSMT4" ShapeID="_x0000_i1025" DrawAspect="Content" ObjectID="_1847949809" r:id="rId7"/>
              </w:object>
            </w:r>
            <w:r w:rsidR="00103C9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1984" w:type="dxa"/>
            <w:vAlign w:val="center"/>
          </w:tcPr>
          <w:p w14:paraId="105FF80E" w14:textId="77777777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(1.1)</w:t>
            </w:r>
          </w:p>
        </w:tc>
      </w:tr>
    </w:tbl>
    <w:p w14:paraId="61670106" w14:textId="77777777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Eeq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(SOC,T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) — равновесное (квазиравновесное) напряжение при заданных SOC и температуре T; I(t) — ток батареи, для которого далее принят положительный знак при разряде; RΩ — омическое сопротивление токосъёмников, контактов и электролита;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ηct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ηdiff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ηconc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соответственно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зарядопереносная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диффузионная и концентрационная составляющие перенапряжения.</w:t>
      </w:r>
    </w:p>
    <w:p w14:paraId="479F26D6" w14:textId="77777777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1A98C" w14:textId="77777777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Соотношение (1.1) представляет инженерную форму баланса потенциалов: клеммное напряжение равно равновесной ЭДС за вычетом омических и поляризационных потерь. Оно следует из общей теории электрохимических систем и поляризационных разложений [1]. Для задач диссертации важно, что старение изменяет не одно интегральное внутреннее сопротивление, а параметры нескольких физически различных вкладов; поэтому далее они идентифицируются раздельно.</w:t>
      </w:r>
    </w:p>
    <w:p w14:paraId="37F2367A" w14:textId="77777777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color w:val="000000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7D2841F7" w14:textId="77777777" w:rsidTr="0076082E">
        <w:tc>
          <w:tcPr>
            <w:tcW w:w="2772" w:type="dxa"/>
            <w:vAlign w:val="center"/>
          </w:tcPr>
          <w:p w14:paraId="6220BF42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  <w:vAlign w:val="center"/>
          </w:tcPr>
          <w:p w14:paraId="1D56381F" w14:textId="77777777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026" type="#_x0000_t75" style="width:158.25pt;height:33.75pt" o:ole="">
                  <v:imagedata r:id="rId8" o:title=""/>
                </v:shape>
                <o:OLEObject Type="Embed" ProgID="Equation.DSMT4" ShapeID="_x0000_i1026" DrawAspect="Content" ObjectID="_1847949810" r:id="rId9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771" w:type="dxa"/>
            <w:vAlign w:val="center"/>
          </w:tcPr>
          <w:p w14:paraId="0FB3BB61" w14:textId="77777777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(1.2)</w:t>
            </w:r>
          </w:p>
        </w:tc>
      </w:tr>
    </w:tbl>
    <w:p w14:paraId="0C7796BF" w14:textId="77777777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SOC0 — состояние заряда в начальный момент интегрирования;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Cnom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номинальная ёмкость; I(τ) — ток батареи; τ — переменная интегрирования; t — текущий момент времени. При положительном токе разряда SOC уменьшается. SOC задаётся в долях единицы либо, после умножения на 100 %, в процентах.</w:t>
      </w:r>
    </w:p>
    <w:p w14:paraId="62DED428" w14:textId="77777777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Формула (1.2) непосредственно следует из закона сохранения электрического заряда и составляет основу кулоновского счёта [2]. В реальной </w:t>
      </w:r>
      <w:r>
        <w:rPr>
          <w:rFonts w:ascii="Times New Roman" w:hAnsi="Times New Roman"/>
          <w:color w:val="0000FF"/>
          <w:sz w:val="28"/>
        </w:rPr>
        <w:lastRenderedPageBreak/>
        <w:t xml:space="preserve">тяговой батарее её применение ограничено дрейфом датчика тока, неопределённостью начального SOC и тем, что доступная ёмкость изменяется с температурой и старением. Поэтому одной оценки состояния заряда (State </w:t>
      </w:r>
      <w:proofErr w:type="spellStart"/>
      <w:r>
        <w:rPr>
          <w:rFonts w:ascii="Times New Roman" w:hAnsi="Times New Roman"/>
          <w:color w:val="0000FF"/>
          <w:sz w:val="28"/>
        </w:rPr>
        <w:t>of</w:t>
      </w:r>
      <w:proofErr w:type="spellEnd"/>
      <w:r>
        <w:rPr>
          <w:rFonts w:ascii="Times New Roman" w:hAnsi="Times New Roman"/>
          <w:color w:val="0000FF"/>
          <w:sz w:val="28"/>
        </w:rPr>
        <w:t xml:space="preserve"> </w:t>
      </w:r>
      <w:proofErr w:type="spellStart"/>
      <w:r>
        <w:rPr>
          <w:rFonts w:ascii="Times New Roman" w:hAnsi="Times New Roman"/>
          <w:color w:val="0000FF"/>
          <w:sz w:val="28"/>
        </w:rPr>
        <w:t>Charge</w:t>
      </w:r>
      <w:proofErr w:type="spellEnd"/>
      <w:r>
        <w:rPr>
          <w:rFonts w:ascii="Times New Roman" w:hAnsi="Times New Roman"/>
          <w:color w:val="0000FF"/>
          <w:sz w:val="28"/>
        </w:rPr>
        <w:t xml:space="preserve">, SOC) недостаточно: для технической диагностики и прогноза дополнительно используются состояние здоровья/степени деградации (State </w:t>
      </w:r>
      <w:proofErr w:type="spellStart"/>
      <w:r>
        <w:rPr>
          <w:rFonts w:ascii="Times New Roman" w:hAnsi="Times New Roman"/>
          <w:color w:val="0000FF"/>
          <w:sz w:val="28"/>
        </w:rPr>
        <w:t>of</w:t>
      </w:r>
      <w:proofErr w:type="spellEnd"/>
      <w:r>
        <w:rPr>
          <w:rFonts w:ascii="Times New Roman" w:hAnsi="Times New Roman"/>
          <w:color w:val="0000FF"/>
          <w:sz w:val="28"/>
        </w:rPr>
        <w:t xml:space="preserve"> Health, SOH), функциональное состояние или доступная функциональная способность (State </w:t>
      </w:r>
      <w:proofErr w:type="spellStart"/>
      <w:r>
        <w:rPr>
          <w:rFonts w:ascii="Times New Roman" w:hAnsi="Times New Roman"/>
          <w:color w:val="0000FF"/>
          <w:sz w:val="28"/>
        </w:rPr>
        <w:t>of</w:t>
      </w:r>
      <w:proofErr w:type="spellEnd"/>
      <w:r>
        <w:rPr>
          <w:rFonts w:ascii="Times New Roman" w:hAnsi="Times New Roman"/>
          <w:color w:val="0000FF"/>
          <w:sz w:val="28"/>
        </w:rPr>
        <w:t xml:space="preserve"> </w:t>
      </w:r>
      <w:proofErr w:type="spellStart"/>
      <w:r>
        <w:rPr>
          <w:rFonts w:ascii="Times New Roman" w:hAnsi="Times New Roman"/>
          <w:color w:val="0000FF"/>
          <w:sz w:val="28"/>
        </w:rPr>
        <w:t>Function</w:t>
      </w:r>
      <w:proofErr w:type="spellEnd"/>
      <w:r>
        <w:rPr>
          <w:rFonts w:ascii="Times New Roman" w:hAnsi="Times New Roman"/>
          <w:color w:val="0000FF"/>
          <w:sz w:val="28"/>
        </w:rPr>
        <w:t>, SOF) и остаточный полезный ресурс (</w:t>
      </w:r>
      <w:proofErr w:type="spellStart"/>
      <w:r>
        <w:rPr>
          <w:rFonts w:ascii="Times New Roman" w:hAnsi="Times New Roman"/>
          <w:color w:val="0000FF"/>
          <w:sz w:val="28"/>
        </w:rPr>
        <w:t>Remaining</w:t>
      </w:r>
      <w:proofErr w:type="spellEnd"/>
      <w:r>
        <w:rPr>
          <w:rFonts w:ascii="Times New Roman" w:hAnsi="Times New Roman"/>
          <w:color w:val="0000FF"/>
          <w:sz w:val="28"/>
        </w:rPr>
        <w:t xml:space="preserve"> </w:t>
      </w:r>
      <w:proofErr w:type="spellStart"/>
      <w:r>
        <w:rPr>
          <w:rFonts w:ascii="Times New Roman" w:hAnsi="Times New Roman"/>
          <w:color w:val="0000FF"/>
          <w:sz w:val="28"/>
        </w:rPr>
        <w:t>Useful</w:t>
      </w:r>
      <w:proofErr w:type="spellEnd"/>
      <w:r>
        <w:rPr>
          <w:rFonts w:ascii="Times New Roman" w:hAnsi="Times New Roman"/>
          <w:color w:val="0000FF"/>
          <w:sz w:val="28"/>
        </w:rPr>
        <w:t xml:space="preserve"> Life, RUL). Эти обозначения далее используются во всей главе.</w:t>
      </w:r>
    </w:p>
    <w:p w14:paraId="197DFA45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Мгновенная электрическая мощность на клеммах батареи определяется тождеством электрической мощности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0BCF1D90" w14:textId="77777777" w:rsidTr="0076082E">
        <w:tc>
          <w:tcPr>
            <w:tcW w:w="3209" w:type="dxa"/>
            <w:vAlign w:val="center"/>
          </w:tcPr>
          <w:p w14:paraId="10F6E696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AF8C0D6" w14:textId="77777777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027" type="#_x0000_t75" style="width:67.5pt;height:18pt" o:ole="">
                  <v:imagedata r:id="rId10" o:title=""/>
                </v:shape>
                <o:OLEObject Type="Embed" ProgID="Equation.DSMT4" ShapeID="_x0000_i1027" DrawAspect="Content" ObjectID="_1847949811" r:id="rId11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40AC25C" w14:textId="77777777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(1.3)</w:t>
            </w:r>
          </w:p>
        </w:tc>
      </w:tr>
    </w:tbl>
    <w:p w14:paraId="23ADE47F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23A50A" w14:textId="77777777" w:rsidR="00EE12F0" w:rsidRPr="00BD5666" w:rsidRDefault="00952F6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Pel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(t) — мгновенная электрическая мощность на клеммах батареи; U(t) — клеммное напряжение; I(t) — ток. При принятом знаке тока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Pel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&gt;0 соответствует отдаче мощности батареей. Выражение (1.3) является определением электрической мощности.</w:t>
      </w:r>
    </w:p>
    <w:p w14:paraId="2F7F66B9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формулы (1.4): это не каноническое уравнение, заимствованное из одного источника, а инженерная декомпозиция потерь, объединяющая </w:t>
      </w:r>
      <w:proofErr w:type="spellStart"/>
      <w:r>
        <w:rPr>
          <w:rFonts w:ascii="Times New Roman" w:hAnsi="Times New Roman"/>
          <w:color w:val="FF0000"/>
          <w:sz w:val="28"/>
        </w:rPr>
        <w:t>джоулеву</w:t>
      </w:r>
      <w:proofErr w:type="spellEnd"/>
      <w:r>
        <w:rPr>
          <w:rFonts w:ascii="Times New Roman" w:hAnsi="Times New Roman"/>
          <w:color w:val="FF0000"/>
          <w:sz w:val="28"/>
        </w:rPr>
        <w:t xml:space="preserve"> составляющую и поляризационные вклады в рамках общей электрохимической и энергетической постановки [1, 3].</w:t>
      </w:r>
    </w:p>
    <w:p w14:paraId="459484DF" w14:textId="7777777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Для инженерного разделения необратимых потерь далее используется представление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46BE2A9F" w14:textId="77777777" w:rsidTr="0076082E">
        <w:tc>
          <w:tcPr>
            <w:tcW w:w="2547" w:type="dxa"/>
            <w:vAlign w:val="center"/>
          </w:tcPr>
          <w:p w14:paraId="6DBA4BA8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  <w:vAlign w:val="center"/>
          </w:tcPr>
          <w:p w14:paraId="1EF55469" w14:textId="77777777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028" type="#_x0000_t75" style="width:162.75pt;height:20.25pt" o:ole="">
                  <v:imagedata r:id="rId12" o:title=""/>
                </v:shape>
                <o:OLEObject Type="Embed" ProgID="Equation.DSMT4" ShapeID="_x0000_i1028" DrawAspect="Content" ObjectID="_1847949812" r:id="rId13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722" w:type="dxa"/>
            <w:vAlign w:val="center"/>
          </w:tcPr>
          <w:p w14:paraId="44B3F4AB" w14:textId="77777777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(1.4)</w:t>
            </w:r>
          </w:p>
        </w:tc>
      </w:tr>
    </w:tbl>
    <w:p w14:paraId="08760230" w14:textId="77777777" w:rsidR="00090672" w:rsidRPr="00BE4268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Ploss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суммарная мощность необратимых потерь; I²Rint —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джоулевы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потери в эквивалентной последовательной, преимущественно омической составляющей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Rint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вклад необратимых потерь, обусловленных кинетикой переноса заряда;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Pdiff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вклад ограничений массопереноса. Такое разложение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является модельным и не уникально: чтобы исключить двойной учёт,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Rint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в (1.4) не включает процессы, отдельно отнесённые к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Pdiff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.</w:t>
      </w:r>
    </w:p>
    <w:p w14:paraId="323E988C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Первое слагаемое в (1.4) следует из закона Джоуля–Ленца, тогда как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Pdiff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представляют феноменологическое энергетическое разложение поляризационных потерь. Их назначение — показать физическую связь роста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зарядопереносного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диффузионного импеданса со снижением доступной тяговой мощности.</w:t>
      </w:r>
    </w:p>
    <w:p w14:paraId="266EF3AD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В сосредоточенной тепловой постановке температурная динамика модуля описывается уравнением теплового баланса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4120B497" w14:textId="77777777" w:rsidTr="0076082E">
        <w:tc>
          <w:tcPr>
            <w:tcW w:w="2636" w:type="dxa"/>
            <w:vAlign w:val="center"/>
          </w:tcPr>
          <w:p w14:paraId="0986EBE6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  <w:vAlign w:val="center"/>
          </w:tcPr>
          <w:p w14:paraId="181484F0" w14:textId="77777777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029" type="#_x0000_t75" style="width:171.75pt;height:30.75pt" o:ole="">
                  <v:imagedata r:id="rId14" o:title=""/>
                </v:shape>
                <o:OLEObject Type="Embed" ProgID="Equation.DSMT4" ShapeID="_x0000_i1029" DrawAspect="Content" ObjectID="_1847949813" r:id="rId15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636" w:type="dxa"/>
            <w:vAlign w:val="center"/>
          </w:tcPr>
          <w:p w14:paraId="663CAF5F" w14:textId="77777777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(1.5)</w:t>
            </w:r>
          </w:p>
        </w:tc>
      </w:tr>
    </w:tbl>
    <w:p w14:paraId="1EBCDFF8" w14:textId="77777777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T(t) — температура батарейного модуля;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Cth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его эффективная тепловая ёмкость; I²Rint —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джоулева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составляющая тепловыделения;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Qrev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обратимая энтропийная составляющая; h — коэффициент теплоотдачи; A — эффективная площадь теплообмена;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Tamb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температура окружающей среды; t — время.</w:t>
      </w:r>
    </w:p>
    <w:p w14:paraId="4EE90223" w14:textId="77777777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Уравнение (1.5) представляет сосредоточенную форму первого закона термодинамики для батарейной системы; общая постановка энергетического баланса аккумуляторов приведена в классической работе D.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Bernardi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E.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Pawlikowski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J.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Newman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[3]. Температура далее рассматривается как внутренняя режимная переменная, поскольку влияет на кинетику, транспорт и скорость накопления деградации.</w:t>
      </w:r>
    </w:p>
    <w:p w14:paraId="5C03D8C6" w14:textId="77777777" w:rsidR="00AF1D4F" w:rsidRDefault="00AF1D4F" w:rsidP="00BB36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Для сравнительного анализа выбраны четыре группы аккумуляторных систем: NMC, LFP, LTO и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 xml:space="preserve">. Они охватывают существенно различающиеся сочетания удельной энергии, мощности, циклической устойчивости и импедансных характеристик. Сравнительная параметризация, используемая далее в обзорно-аналитических сопоставлениях, сведена в таблице 1.1; она сформирована по опубликованным данным и типовым тенденциям для </w:t>
      </w:r>
      <w:r>
        <w:rPr>
          <w:rFonts w:ascii="Times New Roman" w:hAnsi="Times New Roman"/>
          <w:color w:val="FF0000"/>
          <w:sz w:val="28"/>
        </w:rPr>
        <w:lastRenderedPageBreak/>
        <w:t>соответствующих химических систем [4–11], а не по результатам собственных испытаний настоящей главы.</w:t>
      </w:r>
    </w:p>
    <w:p w14:paraId="1A9FF887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таблицы 1.1: это обзорная сравнительная сводка, сформированная по опубликованным данным и типовым тенденциям для NMC, LFP, LTO и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 xml:space="preserve"> [4–11]. Числовые значения используются для сопоставления и нормировки в рамках главы; таблица не является результатом собственных испытаний и не воспроизводит паспорт одного конкретного коммерческого элемента.</w:t>
      </w:r>
    </w:p>
    <w:p w14:paraId="060E094B" w14:textId="77777777" w:rsidR="00980327" w:rsidRDefault="00980327" w:rsidP="00CC2ACB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Таблица 1.1 — Сравнительная параметризация тяговых аккумуляторных систем NMC, LFP, LTO и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927"/>
        <w:gridCol w:w="1459"/>
        <w:gridCol w:w="1478"/>
        <w:gridCol w:w="1075"/>
        <w:gridCol w:w="1177"/>
        <w:gridCol w:w="1568"/>
        <w:gridCol w:w="1568"/>
        <w:gridCol w:w="1006"/>
      </w:tblGrid>
      <w:tr w:rsidR="004B2EDB" w:rsidRPr="004B2EDB" w14:paraId="4B90B418" w14:textId="77777777" w:rsidTr="004B2EDB">
        <w:tc>
          <w:tcPr>
            <w:tcW w:w="846" w:type="dxa"/>
          </w:tcPr>
          <w:p w14:paraId="63874934" w14:textId="77777777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8102A41" w14:textId="77777777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F31DBB2" w14:textId="77777777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Номинальная ёмкость, </w:t>
            </w:r>
            <w:proofErr w:type="spellStart"/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А·ч</w:t>
            </w:r>
            <w:proofErr w:type="spellEnd"/>
          </w:p>
        </w:tc>
        <w:tc>
          <w:tcPr>
            <w:tcW w:w="999" w:type="dxa"/>
          </w:tcPr>
          <w:p w14:paraId="36C644EF" w14:textId="77777777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Удельная энергия, </w:t>
            </w:r>
            <w:proofErr w:type="spellStart"/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Вт·ч</w:t>
            </w:r>
            <w:proofErr w:type="spellEnd"/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6F4F55AB" w14:textId="77777777" w:rsidR="009D7C13" w:rsidRPr="00F31F2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519680F3" w14:textId="77777777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Начальное омическое сопротивление </w:t>
            </w: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R</w:t>
            </w: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  <w:vertAlign w:val="subscript"/>
                <w:lang w:val="en-US"/>
              </w:rPr>
              <w:t>Ω</w:t>
            </w: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15DDBFA0" w14:textId="77777777" w:rsidR="004B2EDB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770D0C54" w14:textId="77777777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R</w:t>
            </w: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4A9EDCFD" w14:textId="77777777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3FCB505E" w14:textId="77777777" w:rsidTr="004B2EDB">
        <w:tc>
          <w:tcPr>
            <w:tcW w:w="846" w:type="dxa"/>
          </w:tcPr>
          <w:p w14:paraId="0959E2ED" w14:textId="77777777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58634848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73D8D61C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609AD5D9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2F0AD268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4D369AD3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42DE6F96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A6BACA6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1800</w:t>
            </w:r>
          </w:p>
        </w:tc>
      </w:tr>
      <w:tr w:rsidR="004B2EDB" w:rsidRPr="004B2EDB" w14:paraId="2A6B0B71" w14:textId="77777777" w:rsidTr="004B2EDB">
        <w:tc>
          <w:tcPr>
            <w:tcW w:w="846" w:type="dxa"/>
          </w:tcPr>
          <w:p w14:paraId="75D70DD9" w14:textId="77777777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563B26A8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3646D95E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570DB8EC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447C2467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698D681F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70E04BE5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7CC79D7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4200</w:t>
            </w:r>
          </w:p>
        </w:tc>
      </w:tr>
      <w:tr w:rsidR="004B2EDB" w:rsidRPr="004B2EDB" w14:paraId="3BEA555D" w14:textId="77777777" w:rsidTr="004B2EDB">
        <w:tc>
          <w:tcPr>
            <w:tcW w:w="846" w:type="dxa"/>
          </w:tcPr>
          <w:p w14:paraId="67A2BBD3" w14:textId="77777777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690C7C52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1F0A3A7F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672D268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5DFEC96E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12825F26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2E88F4A5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571E2E7D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12000</w:t>
            </w:r>
          </w:p>
        </w:tc>
      </w:tr>
      <w:tr w:rsidR="004B2EDB" w:rsidRPr="004B2EDB" w14:paraId="60DBE71B" w14:textId="77777777" w:rsidTr="004B2EDB">
        <w:tc>
          <w:tcPr>
            <w:tcW w:w="846" w:type="dxa"/>
          </w:tcPr>
          <w:p w14:paraId="27D9B677" w14:textId="77777777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Na-</w:t>
            </w:r>
            <w:proofErr w:type="spellStart"/>
            <w:r w:rsidRPr="001950F6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6639B95D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4F88FF39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55B410C3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77F3E79F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309B658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06A54A47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0E1F4662" w14:textId="7777777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2000</w:t>
            </w:r>
          </w:p>
        </w:tc>
      </w:tr>
    </w:tbl>
    <w:p w14:paraId="6F3DD7EA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91156F" w14:textId="7777777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Данные таблицы 1.1 следует трактовать как обзорную сравнительную параметризацию, предназначенную для сопоставления химических систем и последующей нормировки иллюстративных показателей. Они не являются универсальными паспортными характеристиками всех элементов соответствующего класса и не представляют самостоятельную экспериментальную серию автора. Конкретные значения реальных элементов зависят от форм-фактора, производителя, состава электродов, температуры, SOC и протокола измерения.</w:t>
      </w:r>
    </w:p>
    <w:p w14:paraId="02F00CAF" w14:textId="77777777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color w:val="000000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4E234261" w14:textId="77777777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Функциональные связи батареи с BMS, силовым преобразователем, тяговым электродвигателем, рекуперацией, тепловым контуром и бортовой нагрузкой представлены на рисунке 1.1. Такая системная схема необходима, поскольку диагностический параметр батареи становится практически значимым через его влияние на ограничения мощности, тепловой режим и управление электротехническим комплексом.</w:t>
      </w:r>
    </w:p>
    <w:p w14:paraId="39B674E8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рисунка 1.1: схема представляет обзорную структурную компоновку, сформированную по общим положениям электрохимических систем, BMS и теплового/энергетического баланса [1–3]. Она не воспроизводит конструкцию конкретного изделия и объединяет типовые функциональные связи, описанные в литературе.</w:t>
      </w:r>
    </w:p>
    <w:p w14:paraId="27AFC7D1" w14:textId="39300BEA" w:rsidR="001A0B8F" w:rsidRDefault="00023C7A" w:rsidP="00CC2ACB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88FC18" wp14:editId="0345E50E">
            <wp:extent cx="5445889" cy="2596896"/>
            <wp:effectExtent l="0" t="0" r="2540" b="0"/>
            <wp:docPr id="484391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761" cy="260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1671B" w14:textId="77777777" w:rsidR="00EA7000" w:rsidRDefault="00EA7000" w:rsidP="00CC2ACB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1.1 — Структура тяговой аккумуляторной батареи в составе электротехнического комплекса</w:t>
      </w:r>
    </w:p>
    <w:p w14:paraId="5A790D9D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0C330C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Как показано на рисунке 1.1, батарея одновременно является источником энергии, объектом мониторинга,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термонагруженным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узлом и параметрически изменяющимся элементом силового контура. Следовательно, изменение её внутреннего состояния влияет не только на запас энергии, но и на допустимые токи, эффективность рекуперации, тепловые ограничения и фактически доступную мощность тягового привода.</w:t>
      </w:r>
    </w:p>
    <w:p w14:paraId="7C0F4C97" w14:textId="77777777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Системная интерпретация рисунка 1.1 локализует объект диссертационного исследования в предметной области электротехнических комплексов: дальнейшие модели описывают не изолированную электрохимическую ячейку, а диагностируемый и управляемый элемент комплекса с изменяющимися параметрами.</w:t>
      </w:r>
    </w:p>
    <w:p w14:paraId="71FA3929" w14:textId="77777777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Инженерное следствие этой структуры состоит в том, что разрабатываемые алгоритмы могут быть включены в BMS, контур ограничения тяговой и рекуперативной мощности, тепловое управление и систему эксплуатационного мониторинга. Тем самым теоретические параметры модели получают однозначную точку применения.</w:t>
      </w:r>
    </w:p>
    <w:p w14:paraId="276FC0EC" w14:textId="77777777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Ключевой особенностью тяговой батареи является работа при нестационарной нагрузке: разгон, выбег, рекуперативное торможение и повторные импульсы тока формируют существенно более широкий спектр возбуждений, чем квазистационарные режимы. Это ограничивает применимость моделей, идентифицированных только в одной стационарной рабочей точке.</w:t>
      </w:r>
    </w:p>
    <w:p w14:paraId="0548EE49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формулы (1.6): сигнально-аналитическое разложение введено в настоящей постановке для разделения медленного и быстрого временных масштабов тягового тока; оно не является заимствованной фундаментальной формулой и используется только как методический инструмент.</w:t>
      </w:r>
    </w:p>
    <w:p w14:paraId="59EA241C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Для описания режима тяговой эксплуатации удобно использовать аддитивное представление измеренного тока в виде суммы медленно изменяющейся и быстрой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5F1AB3B2" w14:textId="77777777" w:rsidTr="002412EE">
        <w:tc>
          <w:tcPr>
            <w:tcW w:w="3209" w:type="dxa"/>
            <w:vAlign w:val="center"/>
          </w:tcPr>
          <w:p w14:paraId="06782BDA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B371054" w14:textId="77777777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030" type="#_x0000_t75" style="width:103.5pt;height:18.75pt" o:ole="">
                  <v:imagedata r:id="rId17" o:title=""/>
                </v:shape>
                <o:OLEObject Type="Embed" ProgID="Equation.DSMT4" ShapeID="_x0000_i1030" DrawAspect="Content" ObjectID="_1847949814" r:id="rId18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1A7A40F5" w14:textId="77777777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(1.6)</w:t>
            </w:r>
          </w:p>
        </w:tc>
      </w:tr>
    </w:tbl>
    <w:p w14:paraId="1E6C9273" w14:textId="77777777" w:rsidR="00384BE1" w:rsidRDefault="00F00EB5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hAnsi="Times New Roman"/>
          <w:color w:val="0000FF"/>
          <w:sz w:val="28"/>
        </w:rPr>
        <w:t>Ibase</w:t>
      </w:r>
      <w:proofErr w:type="spellEnd"/>
      <w:r>
        <w:rPr>
          <w:rFonts w:ascii="Times New Roman" w:hAnsi="Times New Roman"/>
          <w:color w:val="0000FF"/>
          <w:sz w:val="28"/>
        </w:rPr>
        <w:t xml:space="preserve">(t) — медленно изменяющаяся (квазистационарная) составляющая тягового тока; </w:t>
      </w:r>
      <w:proofErr w:type="spellStart"/>
      <w:r>
        <w:rPr>
          <w:rFonts w:ascii="Times New Roman" w:hAnsi="Times New Roman"/>
          <w:color w:val="0000FF"/>
          <w:sz w:val="28"/>
        </w:rPr>
        <w:t>Idyn</w:t>
      </w:r>
      <w:proofErr w:type="spellEnd"/>
      <w:r>
        <w:rPr>
          <w:rFonts w:ascii="Times New Roman" w:hAnsi="Times New Roman"/>
          <w:color w:val="0000FF"/>
          <w:sz w:val="28"/>
        </w:rPr>
        <w:t xml:space="preserve">(t) — быстрая динамическая составляющая, связанная с ускорениями, коммутационными и рекуперативными переходами. Термин «суперпозиция» здесь используется только в сигнально-аналитическом смысле: </w:t>
      </w:r>
      <w:r>
        <w:rPr>
          <w:rFonts w:ascii="Times New Roman" w:hAnsi="Times New Roman"/>
          <w:color w:val="0000FF"/>
          <w:sz w:val="28"/>
        </w:rPr>
        <w:lastRenderedPageBreak/>
        <w:t>измеренный ток представляется суммой двух компонент, выделяемых по временным масштабам. Разложение (1.6) является авторской сигнальной декомпозицией, а не утверждением о независимости физических процессов и не самостоятельным физическим законом; его назначение — подготовить переход к построению Z(</w:t>
      </w:r>
      <w:proofErr w:type="spellStart"/>
      <w:proofErr w:type="gramStart"/>
      <w:r>
        <w:rPr>
          <w:rFonts w:ascii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hAnsi="Times New Roman"/>
          <w:color w:val="0000FF"/>
          <w:sz w:val="28"/>
        </w:rPr>
        <w:t>).</w:t>
      </w:r>
    </w:p>
    <w:p w14:paraId="463B1700" w14:textId="77777777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Разложение (1.6) используется как методический переход от нестационарного токового профиля к динамической импедансной модели. Его корректность должна оцениваться по устойчивости выделенных компонент к выбору окна и частотной границы.</w:t>
      </w:r>
    </w:p>
    <w:p w14:paraId="63EE30F1" w14:textId="77777777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Характерная нестационарность типового городского тягового режима иллюстрируется на рисунке 1.2: в пределах одного профиля ток многократно изменяет знак и амплитуду, тогда как температура модуля имеет инерционную динамику и не возвращается к исходному уровню между соседними нагрузочными событиями.</w:t>
      </w:r>
    </w:p>
    <w:p w14:paraId="43D87481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FA425E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1.2: график следует трактовать как обзорную иллюстрацию типового нестационарного тягового режима, а не как результат собственного нагрузочного эксперимента. Профиль используется для </w:t>
      </w:r>
      <w:r>
        <w:rPr>
          <w:rFonts w:ascii="Times New Roman" w:hAnsi="Times New Roman"/>
          <w:color w:val="FF0000"/>
          <w:sz w:val="28"/>
        </w:rPr>
        <w:lastRenderedPageBreak/>
        <w:t>демонстрации знакопеременной токовой нагрузки и тепловой инерции в логике BMS и энергетического баланса [2, 3].</w:t>
      </w:r>
    </w:p>
    <w:p w14:paraId="58D0F141" w14:textId="77777777" w:rsidR="00E935C6" w:rsidRDefault="00930775" w:rsidP="00CC2ACB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64547C72">
            <wp:extent cx="5398618" cy="2915265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142" cy="292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43409" w14:textId="77777777" w:rsidR="00930775" w:rsidRDefault="00930775" w:rsidP="00CC2ACB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Рисунок 1.2 — Иллюстративный нагрузочный профиль тяговой аккумуляторной батареи в городском цикле движения</w:t>
      </w:r>
    </w:p>
    <w:p w14:paraId="1C0D2CEA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обзорная графическая реконструкция типового тягового режима по общим закономерностям [2, 3]; не является результатом собственного нагрузочного испытания.</w:t>
      </w:r>
    </w:p>
    <w:p w14:paraId="4080D936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9BC0B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 рисунке 1.2 положительные значения тока соответствуют тяговому режиму, отрицательные — рекуперативному торможению, а пунктиром показана температура модуля. Совместное рассмотрение токовой и температурной траекторий демонстрирует, что диагностический спектр в реальной эксплуатации формируется на фоне изменяющейся рабочей точки.</w:t>
      </w:r>
    </w:p>
    <w:p w14:paraId="384FBA27" w14:textId="77777777" w:rsidR="00516B33" w:rsidRPr="00C7589D" w:rsidRDefault="00516B33" w:rsidP="00CC2ACB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1.2 обосновывает переход от статического Z(ω) к динамическому Z(</w:t>
      </w:r>
      <w:proofErr w:type="spellStart"/>
      <w:proofErr w:type="gramStart"/>
      <w:r>
        <w:rPr>
          <w:rFonts w:ascii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hAnsi="Times New Roman"/>
          <w:color w:val="0000FF"/>
          <w:sz w:val="28"/>
        </w:rPr>
        <w:t>): диагностические параметры должны оцениваться с учётом локального режима, а не трактоваться как неизменные константы батареи.</w:t>
      </w:r>
    </w:p>
    <w:p w14:paraId="65A540EF" w14:textId="77777777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последующей экспериментальной верификации из этого следует требование воспроизводить при стендовых испытаниях не только средний ток, но и спектр переходных нагрузок, температурную динамику и рекуперативные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участки. Иначе перенос модели в тяговую эксплуатацию будет методически необоснованным.</w:t>
      </w:r>
    </w:p>
    <w:p w14:paraId="0FB8F7B4" w14:textId="77777777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color w:val="000000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color w:val="000000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color w:val="000000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460376ED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Различия химических систем имеют прямое кинетическое следствие. В окрестности равновесия сопротивление переноса заряда при одноэлектронной линеаризации уравнения Батлера–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Фольмера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может быть записано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16EF861C" w14:textId="77777777" w:rsidTr="00076604">
        <w:tc>
          <w:tcPr>
            <w:tcW w:w="3209" w:type="dxa"/>
            <w:vAlign w:val="center"/>
          </w:tcPr>
          <w:p w14:paraId="0DF6475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C1B2434" w14:textId="77777777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031" type="#_x0000_t75" style="width:48.75pt;height:33.75pt" o:ole="">
                  <v:imagedata r:id="rId20" o:title=""/>
                </v:shape>
                <o:OLEObject Type="Embed" ProgID="Equation.DSMT4" ShapeID="_x0000_i1031" DrawAspect="Content" ObjectID="_1847949815" r:id="rId21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848ABB0" w14:textId="77777777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(1.7)</w:t>
            </w:r>
          </w:p>
        </w:tc>
      </w:tr>
    </w:tbl>
    <w:p w14:paraId="7DF8ADB8" w14:textId="77777777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где R — универсальная газовая постоянная; T — абсолютная температура; F — постоянная Фарадея; i0 — обменный ток всей активной поверхности электрода. Если используется плотность обменного тока, в знаменатель дополнительно входит активная площадь, а при общем числе электронов n — множитель n. Формула (1.7) является линеаризованным следствием уравнения Батлера–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Фольмера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[1]. Следовательно, различия i0 и эффективной площади реакции закономерно приводят к различиям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между химическими системами.</w:t>
      </w:r>
    </w:p>
    <w:p w14:paraId="482D6BF9" w14:textId="77777777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Многокритериальное сопоставление удельной энергии, мощностного потенциала и циклического ресурса исследуемых систем приведено на рисунке 1.3. Оно показывает, что ни одна химия не доминирует по всем критериям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одновременно; поэтому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диагностико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-прогностическая модель должна иметь общее математическое ядро, но химически специфичную параметризацию.</w:t>
      </w:r>
    </w:p>
    <w:p w14:paraId="1193FA50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F69425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рисунка 1.3: диаграмма построена как нормированная графическая визуализация сравнительной сводки таблицы 1.1 и литературных тенденций [4–11]. Она не воспроизводит график из одного источника; показатели представлены в относительном виде для многокритериального сопоставления химических систем.</w:t>
      </w:r>
    </w:p>
    <w:p w14:paraId="329E3B6A" w14:textId="77777777" w:rsidR="00552AA7" w:rsidRDefault="00552AA7" w:rsidP="008B0ABD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59386A57">
            <wp:extent cx="5634651" cy="3247949"/>
            <wp:effectExtent l="0" t="0" r="4445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588" cy="3254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A219A" w14:textId="77777777" w:rsidR="00AB1175" w:rsidRPr="00C7589D" w:rsidRDefault="00AB1175" w:rsidP="00423027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Рисунок 1.3 — Сравнительные нормированные эксплуатационные индексы аккумуляторных систем различной химии</w:t>
      </w:r>
    </w:p>
    <w:p w14:paraId="4BC817D1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нормированная визуализация сравнительной сводки таблицы 1.1 и литературных данных [4–11].</w:t>
      </w:r>
    </w:p>
    <w:p w14:paraId="564684F7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67E1FA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На рисунке 1.3 исходные показатели нормированы на максимальное значение внутри каждой группы, поэтому столбцы являются безразмерными относительными индексами, а не дополнительными измеренными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характеристиками. Такое нормирование позволяет сопоставлять разноразмерные свойства, не смешивая их физические единицы.</w:t>
      </w:r>
    </w:p>
    <w:p w14:paraId="2E552364" w14:textId="77777777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В принятой обзорной нормировке NMC имеет наибольший относительный индекс энергоёмкости, LTO — высокий мощностной и ресурсный индекс, LFP занимает промежуточную позицию, а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 xml:space="preserve"> демонстрирует иной баланс показателей. Эти отношения используются только как сравнительная иллюстрация и не должны экстраполироваться на все коммерческие элементы соответствующих химий без учёта конструкции, производителя и режима.</w:t>
      </w:r>
    </w:p>
    <w:p w14:paraId="133B7891" w14:textId="77777777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Методический вывод из рисунка 1.3 состоит в необходимости химически адаптивного прогноза: одинаковое численное изменение импедансного признака может соответствовать различной степени ресурсного риска для разных электрохимических систем.</w:t>
      </w:r>
    </w:p>
    <w:p w14:paraId="6B8CFFDB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Таким образом, тяговая батарея является многопараметрическим объектом, в котором электрические, тепловые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деградационные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процессы связаны. Для дальнейшей диссертационной логики принципиален переход от химически нейтральной регрессии к модели, где химический класс и режим эксплуатации входят в процедуру интерпретации импедансных параметров.</w:t>
      </w:r>
    </w:p>
    <w:p w14:paraId="1B4062B5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76DD5" w14:textId="77777777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color w:val="000000"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аккумуляторных систем</w:t>
      </w:r>
    </w:p>
    <w:p w14:paraId="6DDD4111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162E52" w14:textId="77777777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Деградация тяговых аккумуляторных батарей представляет совокупность необратимых процессов, проявляющихся как снижение доступной ёмкости, рост импеданса, уменьшение доступной мощности и изменение теплового поведения. Для литий-ионных систем к базовым механизмам относят потерю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циклируемого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лития, потерю активного материала, рост межфазных сопротивлений и транспортные ограничения [4]. Макроскопическими следствиями являются снижение ёмкости (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capacity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fade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) и увеличение импеданса (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impedance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rise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).</w:t>
      </w:r>
    </w:p>
    <w:p w14:paraId="59FBF773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lastRenderedPageBreak/>
        <w:t>Происхождение формулы (1.8): это обзорно-феноменологическая агрегация известных механизмов деградации, систематизированных в [4], а не самостоятельный фундаментальный закон.</w:t>
      </w:r>
    </w:p>
    <w:p w14:paraId="3250D3B1" w14:textId="77777777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системного описания введём безразмерную или нормированную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деградационную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координату D(t), возрастающую по мере накопления повреждения. На уровне феноменологической декомпозиции её скорость представим как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7AC0AFD1" w14:textId="77777777" w:rsidTr="00076604">
        <w:tc>
          <w:tcPr>
            <w:tcW w:w="2668" w:type="dxa"/>
            <w:vAlign w:val="center"/>
          </w:tcPr>
          <w:p w14:paraId="61D5E9C4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  <w:vAlign w:val="center"/>
          </w:tcPr>
          <w:p w14:paraId="6675F472" w14:textId="77777777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032" type="#_x0000_t75" style="width:168pt;height:30.75pt" o:ole="">
                  <v:imagedata r:id="rId23" o:title=""/>
                </v:shape>
                <o:OLEObject Type="Embed" ProgID="Equation.DSMT4" ShapeID="_x0000_i1032" DrawAspect="Content" ObjectID="_1847949816" r:id="rId24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668" w:type="dxa"/>
            <w:vAlign w:val="center"/>
          </w:tcPr>
          <w:p w14:paraId="562F9700" w14:textId="77777777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(1.8)</w:t>
            </w:r>
          </w:p>
        </w:tc>
      </w:tr>
    </w:tbl>
    <w:p w14:paraId="4D25D671" w14:textId="77777777" w:rsidR="008D4C53" w:rsidRPr="00F564B9" w:rsidRDefault="00F548B0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fSEI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fLLI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fLAM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fth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fmech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скорости вкладов, связанных соответственно с ростом межфазного слоя, потерей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циклируемого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лития/натрия, потерей активного материала,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термоактивируемыми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процессами и механической деградацией. Все слагаемые должны иметь одинаковую размерность скорости D. Выражение (1.8) является авторской аддитивной формализацией известных механизмов [4]; на данном уровне взаимодействия между механизмами включаются в калибруемые функции, а не считаются независимыми физическими каналами.</w:t>
      </w:r>
    </w:p>
    <w:p w14:paraId="3FA08E15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779E17" w14:textId="77777777" w:rsidR="0044617A" w:rsidRPr="000116AC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Одним из наиболее информативных признаков кинетической деградации является рост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. При малом перенапряжении связь с обменным током следует из линеаризованного уравнения Батлера–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Фольмера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61595D19" w14:textId="77777777" w:rsidTr="003D1B42">
        <w:tc>
          <w:tcPr>
            <w:tcW w:w="3209" w:type="dxa"/>
            <w:vAlign w:val="center"/>
          </w:tcPr>
          <w:p w14:paraId="40F87F65" w14:textId="77777777" w:rsidR="00CC65BF" w:rsidRPr="000116AC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83C1186" w14:textId="77777777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033" type="#_x0000_t75" style="width:48pt;height:33.75pt" o:ole="">
                  <v:imagedata r:id="rId25" o:title=""/>
                </v:shape>
                <o:OLEObject Type="Embed" ProgID="Equation.DSMT4" ShapeID="_x0000_i1033" DrawAspect="Content" ObjectID="_1847949817" r:id="rId26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5378EE43" w14:textId="7777777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(1.9)</w:t>
            </w:r>
          </w:p>
        </w:tc>
      </w:tr>
    </w:tbl>
    <w:p w14:paraId="3C558357" w14:textId="77777777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где R — универсальная газовая постоянная; T — абсолютная температура; F — постоянная Фарадея; i0 — обменный ток; при общей электрохимической реакции дополнительно учитывается число электронов n. Формула (1.9) используется в той же локально-линейной постановке, что и (1.7), и следует из классической электрохимической кинетики [1].</w:t>
      </w:r>
    </w:p>
    <w:p w14:paraId="379C72BA" w14:textId="77777777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Снижение эффективной активной площади и доступности реакционных центров уменьшает i0 и повышает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. Поэтому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рассматривается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далее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как физически интерпретируемый диагностический признак, но не как однозначный маркер одного механизма: его причинная интерпретация зависит от химии, SOC, температуры и конструкции элемента.</w:t>
      </w:r>
    </w:p>
    <w:p w14:paraId="07EA2669" w14:textId="7777777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Рост межфазного слоя в диффузионно-ограниченном приближении может быть связан со вторым законом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Фика</w:t>
      </w:r>
      <w:proofErr w:type="spellEnd"/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4D7C1D2E" w14:textId="77777777" w:rsidTr="003D1B42">
        <w:tc>
          <w:tcPr>
            <w:tcW w:w="3209" w:type="dxa"/>
            <w:vAlign w:val="center"/>
          </w:tcPr>
          <w:p w14:paraId="3CD03FA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266AF2" w14:textId="77777777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034" type="#_x0000_t75" style="width:63.75pt;height:31.5pt" o:ole="">
                  <v:imagedata r:id="rId27" o:title=""/>
                </v:shape>
                <o:OLEObject Type="Embed" ProgID="Equation.DSMT4" ShapeID="_x0000_i1034" DrawAspect="Content" ObjectID="_1847949818" r:id="rId28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8E17CC4" w14:textId="77777777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(1.10)</w:t>
            </w:r>
          </w:p>
        </w:tc>
      </w:tr>
    </w:tbl>
    <w:p w14:paraId="2D784D79" w14:textId="77777777" w:rsidR="00381AA1" w:rsidRPr="00D125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где C(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x,t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) — концентрация переносимого компонента;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Ddiff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коэффициент диффузии; x — пространственная координата; t — время. Уравнение (1.10) записано для одномерной диффузии при постоянном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Ddiff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; оно является стандартным уравнением массопереноса [1]. Для ряда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пассивирующих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процессов решение при соответствующих граничных условиях приводит к корневому масштабу δ(t)∝√t.</w:t>
      </w:r>
    </w:p>
    <w:p w14:paraId="7B40D3AD" w14:textId="77777777" w:rsidR="00F96030" w:rsidRPr="00923F6A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Если сопротивление слоя в первом приближении пропорционально его толщине, RSEI(t)∝δ(t), то получается RSEI(t)∝√t. Это не универсальный закон всего срока службы, а ранняя асимптотическая аппроксимация диффузионно-контролируемого роста.</w:t>
      </w:r>
    </w:p>
    <w:p w14:paraId="010580F3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 более поздних стадиях к межфазному росту добавляются структурные и механические механизмы, поэтому зависимость может отклоняться от √t и становиться квазилинейной или ускоряющейся. В прогностической модели вид закона должен идентифицироваться по данным, а не задаваться априорно для всего жизненного цикла.</w:t>
      </w:r>
    </w:p>
    <w:p w14:paraId="4B30895F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/>
          <w:color w:val="0000FF"/>
          <w:sz w:val="28"/>
        </w:rPr>
        <w:t>Термоактивируемую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составляющую скорости деградации принято описывать законом Аррениуса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04E352C" w14:textId="77777777" w:rsidTr="00D71E7C">
        <w:tc>
          <w:tcPr>
            <w:tcW w:w="3209" w:type="dxa"/>
            <w:vAlign w:val="center"/>
          </w:tcPr>
          <w:p w14:paraId="2012E9F7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0A66F9E" w14:textId="77777777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035" type="#_x0000_t75" style="width:103.5pt;height:33.75pt" o:ole="">
                  <v:imagedata r:id="rId29" o:title=""/>
                </v:shape>
                <o:OLEObject Type="Embed" ProgID="Equation.DSMT4" ShapeID="_x0000_i1035" DrawAspect="Content" ObjectID="_1847949819" r:id="rId30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5C14AD6E" w14:textId="77777777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(1.11)</w:t>
            </w:r>
          </w:p>
        </w:tc>
      </w:tr>
    </w:tbl>
    <w:p w14:paraId="735A9526" w14:textId="77777777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где k(T) — температурно-зависимая константа скорости процесса; A —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предэкспоненциальный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множитель;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Ea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энергия активации; R — универсальная газовая постоянная; T — абсолютная температура. Формула (1.11) описывает температурную зависимость элементарного или эффективного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термоактивируемого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процесса; для суммарного старения её параметры являются эффективными и требуют экспериментальной идентификации.</w:t>
      </w:r>
    </w:p>
    <w:p w14:paraId="7518CD89" w14:textId="77777777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Закономерность Аррениуса применима к описанию температурного ускорения ряда побочных реакций и используется в моделях старения аккумуляторов [4, 5]. При этом единая энергия активации не должна интерпретироваться как константа для всех режимов: при смене доминирующего механизма эффективный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Ea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может изменяться.</w:t>
      </w:r>
    </w:p>
    <w:p w14:paraId="5391EEFD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8A413F" w14:textId="77777777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1.2.1 Деградация аккумуляторов типа NMC</w:t>
      </w:r>
    </w:p>
    <w:p w14:paraId="72F5BF7D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C001B0" w14:textId="77777777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NMC-систем высокая удельная энергия сочетается с чувствительностью к структурной и межфазной деградации. Для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высоконикелевых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материалов подробно описаны образование микротрещин вторичных частиц, поверхностная реконструкция, потеря электрического контакта и связанные с ними изменения кинетики [5–7]. Эти механизмы особенно значимы при высоких степенях заряда и повышенной температуре.</w:t>
      </w:r>
    </w:p>
    <w:p w14:paraId="590DB0B3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color w:val="000000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</w:t>
      </w:r>
      <w:proofErr w:type="spellStart"/>
      <w:r w:rsidRPr="00376127">
        <w:rPr>
          <w:rFonts w:ascii="Times New Roman" w:hAnsi="Times New Roman" w:cs="Times New Roman"/>
          <w:color w:val="000000"/>
          <w:sz w:val="28"/>
          <w:szCs w:val="28"/>
        </w:rPr>
        <w:t>циклируемого</w:t>
      </w:r>
      <w:proofErr w:type="spellEnd"/>
      <w:r w:rsidRPr="00376127">
        <w:rPr>
          <w:rFonts w:ascii="Times New Roman" w:hAnsi="Times New Roman" w:cs="Times New Roman"/>
          <w:color w:val="000000"/>
          <w:sz w:val="28"/>
          <w:szCs w:val="28"/>
        </w:rPr>
        <w:t xml:space="preserve"> лития. В спектре импеданса это, как правило, проявляется сравнительно </w:t>
      </w:r>
      <w:r w:rsidRPr="00376127">
        <w:rPr>
          <w:rFonts w:ascii="Times New Roman" w:hAnsi="Times New Roman" w:cs="Times New Roman"/>
          <w:color w:val="000000"/>
          <w:sz w:val="28"/>
          <w:szCs w:val="28"/>
        </w:rPr>
        <w:lastRenderedPageBreak/>
        <w:t>быстрым ростом полукруга переноса заряда и последующим усилением низкочастотной диффузионной компоненты.</w:t>
      </w:r>
    </w:p>
    <w:p w14:paraId="7D40B537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формулы (1.12): ниже используется феноменологическая аппроксимация, мотивированная опубликованными механизмами старения NMC [5–7]. Формула не воспроизводится из конкретной публикации и должна рассматриваться как модельная форма, подлежащая последующей идентификации.</w:t>
      </w:r>
    </w:p>
    <w:p w14:paraId="3674F84A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последующего сравнительного анализа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деградационную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координату NMC-элемента представим феноменологической зависимостью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2F637753" w14:textId="77777777" w:rsidTr="00FF4424">
        <w:tc>
          <w:tcPr>
            <w:tcW w:w="2495" w:type="dxa"/>
            <w:vAlign w:val="center"/>
          </w:tcPr>
          <w:p w14:paraId="40660BB8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  <w:vAlign w:val="center"/>
          </w:tcPr>
          <w:p w14:paraId="25DC6DB5" w14:textId="77777777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036" type="#_x0000_t75" style="width:185.25pt;height:20.25pt" o:ole="">
                  <v:imagedata r:id="rId31" o:title=""/>
                </v:shape>
                <o:OLEObject Type="Embed" ProgID="Equation.DSMT4" ShapeID="_x0000_i1036" DrawAspect="Content" ObjectID="_1847949820" r:id="rId32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495" w:type="dxa"/>
            <w:vAlign w:val="center"/>
          </w:tcPr>
          <w:p w14:paraId="146986C2" w14:textId="77777777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(1.12)</w:t>
            </w:r>
          </w:p>
        </w:tc>
      </w:tr>
    </w:tbl>
    <w:p w14:paraId="15E5837F" w14:textId="77777777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DNMC(N) — нормированная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деградационная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координата; N — число эквивалентных циклов; a1, a2, a3 — идентифицируемые коэффициенты; m&gt;1 — показатель ускоренной поздней стадии. Формула (1.12) является авторской аппроксимацией, а не опубликованным фундаментальным законом: члены √N, N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N^m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отражают соответственно диффузионно-ограниченный, квазилинейный и ускоряющийся режимы и должны проверяться по экспериментальным данным.</w:t>
      </w:r>
    </w:p>
    <w:p w14:paraId="20F25889" w14:textId="77777777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Такое разложение позволяет формально отделить ранний, средний и поздний режимы старения, но не утверждает, что каждый член соответствует только одному микроскопическому механизму. Для Ni-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rich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NMC переход к ускоренной стадии физически согласуется с накоплением структурных повреждений и ростом межфазной поляризации [5–7].</w:t>
      </w:r>
    </w:p>
    <w:p w14:paraId="0C3B387E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F30081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1.2.2 Деградация аккумуляторов типа LFP</w:t>
      </w:r>
    </w:p>
    <w:p w14:paraId="436740AF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296206" w14:textId="77777777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Литий-железо-фосфатные аккумуляторы обычно характеризуются высокой термической и циклической устойчивостью. Оливиновая структура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LiFePO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₄ отличается устойчивой кислородной подсистемой, однако кинетика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зависит от размера частиц, проводящих добавок, интерфейса и температурного режима. Экспериментальные исследования коммерческих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LiFePO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₄/графитовых элементов показывают существенную роль режимов циклирования в формировании старения [8].</w:t>
      </w:r>
    </w:p>
    <w:p w14:paraId="2DA261F6" w14:textId="7777777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LFP ранняя потеря эксплуатационных свойств может определяться потерей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циклируемого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лития, деградацией графитового анода и постепенным ростом импеданса. Поэтому даже для структурно устойчивой катодной химии оценка ресурса не должна сводиться только к измерению ёмкости: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зарядопереносные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диффузионные параметры обеспечивают дополнительную чувствительность [8].</w:t>
      </w:r>
    </w:p>
    <w:p w14:paraId="4994F5DB" w14:textId="7777777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Физически интеркаляция/</w:t>
      </w:r>
      <w:proofErr w:type="spellStart"/>
      <w:r>
        <w:rPr>
          <w:rFonts w:ascii="Times New Roman" w:hAnsi="Times New Roman"/>
          <w:color w:val="0000FF"/>
          <w:sz w:val="28"/>
        </w:rPr>
        <w:t>деинтеркаляция</w:t>
      </w:r>
      <w:proofErr w:type="spellEnd"/>
      <w:r>
        <w:rPr>
          <w:rFonts w:ascii="Times New Roman" w:hAnsi="Times New Roman"/>
          <w:color w:val="0000FF"/>
          <w:sz w:val="28"/>
        </w:rPr>
        <w:t xml:space="preserve"> в LFP связана с двухфазной системой </w:t>
      </w:r>
      <w:proofErr w:type="spellStart"/>
      <w:r>
        <w:rPr>
          <w:rFonts w:ascii="Times New Roman" w:hAnsi="Times New Roman"/>
          <w:color w:val="0000FF"/>
          <w:sz w:val="28"/>
        </w:rPr>
        <w:t>FePO</w:t>
      </w:r>
      <w:proofErr w:type="spellEnd"/>
      <w:r>
        <w:rPr>
          <w:rFonts w:ascii="Times New Roman" w:hAnsi="Times New Roman"/>
          <w:color w:val="0000FF"/>
          <w:sz w:val="28"/>
        </w:rPr>
        <w:t>₄/</w:t>
      </w:r>
      <w:proofErr w:type="spellStart"/>
      <w:r>
        <w:rPr>
          <w:rFonts w:ascii="Times New Roman" w:hAnsi="Times New Roman"/>
          <w:color w:val="0000FF"/>
          <w:sz w:val="28"/>
        </w:rPr>
        <w:t>LiFePO</w:t>
      </w:r>
      <w:proofErr w:type="spellEnd"/>
      <w:r>
        <w:rPr>
          <w:rFonts w:ascii="Times New Roman" w:hAnsi="Times New Roman"/>
          <w:color w:val="0000FF"/>
          <w:sz w:val="28"/>
        </w:rPr>
        <w:t xml:space="preserve">₄. Под интеркаляцией здесь понимается обратимое внедрение ионов лития в кристаллическую структуру электродного материала без разрушения её каркаса в рабочем диапазоне состояний; </w:t>
      </w:r>
      <w:proofErr w:type="spellStart"/>
      <w:r>
        <w:rPr>
          <w:rFonts w:ascii="Times New Roman" w:hAnsi="Times New Roman"/>
          <w:color w:val="0000FF"/>
          <w:sz w:val="28"/>
        </w:rPr>
        <w:t>деинтеркаляция</w:t>
      </w:r>
      <w:proofErr w:type="spellEnd"/>
      <w:r>
        <w:rPr>
          <w:rFonts w:ascii="Times New Roman" w:hAnsi="Times New Roman"/>
          <w:color w:val="0000FF"/>
          <w:sz w:val="28"/>
        </w:rPr>
        <w:t xml:space="preserve"> соответствует обратному извлечению ионов. В упрощённом описании транспорт лития в частице задаётся диффузионным уравнением, а движение фазовой границы — условием баланса потока. Поэтому вклад диффузионной области ЭИС может возрастать при низкой температуре и высоких токах даже при сравнительно умеренном изменении ёмкости.</w:t>
      </w:r>
    </w:p>
    <w:p w14:paraId="72A8A414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формулы (1.13): модельная форма для </w:t>
      </w:r>
      <w:proofErr w:type="spellStart"/>
      <w:proofErr w:type="gramStart"/>
      <w:r>
        <w:rPr>
          <w:rFonts w:ascii="Times New Roman" w:hAnsi="Times New Roman"/>
          <w:color w:val="FF0000"/>
          <w:sz w:val="28"/>
        </w:rPr>
        <w:t>Rct,LFP</w:t>
      </w:r>
      <w:proofErr w:type="spellEnd"/>
      <w:proofErr w:type="gramEnd"/>
      <w:r>
        <w:rPr>
          <w:rFonts w:ascii="Times New Roman" w:hAnsi="Times New Roman"/>
          <w:color w:val="FF0000"/>
          <w:sz w:val="28"/>
        </w:rPr>
        <w:t>(N) введена как инженерная аппроксимация, согласованная с диффузионно-контролируемым и квазилинейным характером старения LFP, описанным в [8]; это не прямая цитата формулы из источника.</w:t>
      </w:r>
    </w:p>
    <w:p w14:paraId="4AAB8515" w14:textId="77777777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color w:val="000000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1467C506" w14:textId="77777777" w:rsidTr="00FF4424">
        <w:tc>
          <w:tcPr>
            <w:tcW w:w="2625" w:type="dxa"/>
            <w:vAlign w:val="center"/>
          </w:tcPr>
          <w:p w14:paraId="311D4D2C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  <w:vAlign w:val="center"/>
          </w:tcPr>
          <w:p w14:paraId="4C2662F5" w14:textId="77777777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037" type="#_x0000_t75" style="width:165.75pt;height:21.75pt" o:ole="">
                  <v:imagedata r:id="rId33" o:title=""/>
                </v:shape>
                <o:OLEObject Type="Embed" ProgID="Equation.DSMT4" ShapeID="_x0000_i1037" DrawAspect="Content" ObjectID="_1847949821" r:id="rId34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757" w:type="dxa"/>
            <w:vAlign w:val="center"/>
          </w:tcPr>
          <w:p w14:paraId="77AF1FE6" w14:textId="77777777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(1.13)</w:t>
            </w:r>
          </w:p>
        </w:tc>
      </w:tr>
    </w:tbl>
    <w:p w14:paraId="6BFE446E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Rct,LFP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(N) — сопротивление переноса заряда после N циклов; Rct,0 — начальное сопротивление; b1 и b2 — калибруемые коэффициенты раннего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корневого и последующего квазилинейного роста. Формула (1.13) — авторская инженерная аппроксимация, мотивированная диффузионно-контролируемым и квазилинейным режимами; её параметры должны оцениваться отдельно для заданных температуры и SOC-окна.</w:t>
      </w:r>
    </w:p>
    <w:p w14:paraId="14941438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Такое представление используется как редуцированная модель признака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а не как универсальная кинетическая модель LFP. Его состоятельность определяется качеством аппроксимации экспериментальной траектории и устойчивостью коэффициентов при изменении режима.</w:t>
      </w:r>
    </w:p>
    <w:p w14:paraId="0FD85D52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80D65F" w14:textId="77777777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17C0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1.2.3 Деградация аккумуляторов типа LTO</w:t>
      </w:r>
    </w:p>
    <w:p w14:paraId="3BACF492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F5AD4" w14:textId="77777777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LTO-системы используют анод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Li₄Ti₅O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₁₂, для которого характерно близкое к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zero-strain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поведение при интеркаляции лития. Экспериментальные структурные исследования подтверждают малое изменение параметров решётки в области сохранения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zero-strain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режима [9]. Это снижает механическую составляющую деградации анода и способствует высокой циклической устойчивости.</w:t>
      </w:r>
    </w:p>
    <w:p w14:paraId="34BC7665" w14:textId="77777777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Ограничения LTO связаны с меньшей удельной энергией и необходимостью учитывать электронный/ионный транспорт, архитектуру электрода и межфазное сопротивление. Экспериментальные исследования LTO-элементов также показывают температурную и циклическую зависимость характеристик [10], поэтому высокая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ресурсность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не означает отсутствия деградации.</w:t>
      </w:r>
    </w:p>
    <w:p w14:paraId="3D16D270" w14:textId="77777777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С импедансной точки зрения LTO представляет важный контрастный случай: при малой структурной деформации анода рост импеданса может в большей мере определяться межфазными и катодными процессами. Следовательно, одинаковый диагностический параметр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имеет различную физическую декомпозицию для разных химических систем; это исключает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некритичное использование одной калибровочной зависимости SOH(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) для всех химий [10].</w:t>
      </w:r>
    </w:p>
    <w:p w14:paraId="2F93F30C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Для целей диссертации это важно по двум причинам. Во-первых, LTO рассматривается как система с высоким циклическим ресурсом, на которой удобно проверять чувствительность импедансных критериев к медленным </w:t>
      </w:r>
      <w:proofErr w:type="spellStart"/>
      <w:r>
        <w:rPr>
          <w:rFonts w:ascii="Times New Roman" w:hAnsi="Times New Roman"/>
          <w:color w:val="0000FF"/>
          <w:sz w:val="28"/>
        </w:rPr>
        <w:t>деградационным</w:t>
      </w:r>
      <w:proofErr w:type="spellEnd"/>
      <w:r>
        <w:rPr>
          <w:rFonts w:ascii="Times New Roman" w:hAnsi="Times New Roman"/>
          <w:color w:val="0000FF"/>
          <w:sz w:val="28"/>
        </w:rPr>
        <w:t xml:space="preserve"> процессам. Во-вторых, поведение LTO показывает, что одна и та же диагностическая переменная </w:t>
      </w:r>
      <w:proofErr w:type="spellStart"/>
      <w:r>
        <w:rPr>
          <w:rFonts w:ascii="Times New Roman" w:hAnsi="Times New Roman"/>
          <w:color w:val="0000FF"/>
          <w:sz w:val="28"/>
        </w:rPr>
        <w:t>Rct</w:t>
      </w:r>
      <w:proofErr w:type="spellEnd"/>
      <w:r>
        <w:rPr>
          <w:rFonts w:ascii="Times New Roman" w:hAnsi="Times New Roman"/>
          <w:color w:val="0000FF"/>
          <w:sz w:val="28"/>
        </w:rPr>
        <w:t xml:space="preserve"> может иметь различную физическую интерпретацию в зависимости от химической системы: в одном случае её изменение сильнее связано с анодной деградацией, в другом — с катодной, в третьем — с их совместным вкладом.</w:t>
      </w:r>
    </w:p>
    <w:p w14:paraId="59DFDD76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3FEA5B" w14:textId="77777777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1.2.4 Деградация натрий-ионных аккумуляторов</w:t>
      </w:r>
    </w:p>
    <w:p w14:paraId="3B0E93E1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4BEB17" w14:textId="77777777" w:rsidR="00903768" w:rsidRDefault="00B8116D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системы рассматриваются как альтернативный класс накопителей с иной химией носителя заряда и межфазного слоя. Их электрохимический интерфейс и стабильность SEI/CEI существенно зависят от состава электролита; прямые исследования интерфейса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систем подтверждают специфику межфазной эволюции [11]. Поэтому перенос коэффициентов, идентифицированных для Li-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на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без повторной калибровки методически некорректен.</w:t>
      </w:r>
    </w:p>
    <w:p w14:paraId="3086AEB8" w14:textId="77777777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Больший ионный радиус Na⁺ по сравнению с Li⁺ влияет на транспорт и структурные ограничения материалов, однако величина импеданса конкретного элемента определяется совокупностью материалов, микроструктуры, электролита и интерфейсов. Поэтому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используется как проверка переносимости общего математического ядра при химически специфичной идентификации, а не как основание для универсального утверждения о заведомо большем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всех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батарей.</w:t>
      </w:r>
    </w:p>
    <w:p w14:paraId="39E988C2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lastRenderedPageBreak/>
        <w:t>Для Na-</w:t>
      </w:r>
      <w:proofErr w:type="spellStart"/>
      <w:r>
        <w:rPr>
          <w:rFonts w:ascii="Times New Roman" w:hAnsi="Times New Roman"/>
          <w:color w:val="0000FF"/>
          <w:sz w:val="28"/>
        </w:rPr>
        <w:t>ion</w:t>
      </w:r>
      <w:proofErr w:type="spellEnd"/>
      <w:r>
        <w:rPr>
          <w:rFonts w:ascii="Times New Roman" w:hAnsi="Times New Roman"/>
          <w:color w:val="0000FF"/>
          <w:sz w:val="28"/>
        </w:rPr>
        <w:t xml:space="preserve"> дополнительно существенны стабильность межфазного слоя на углеродном аноде, структурные превращения положительного электрода и чувствительность электролитного интерфейса к температуре и глубине циклирования. Поэтому рост импеданса следует декомпозировать по частотным областям: изменение высокочастотного пересечения характеризует омический вклад, среднечастотной дуги — совокупность межфазной кинетики и ёмкостного отклика, а низкочастотной части — транспортные ограничения. Такая трактовка не приписывает весь рост </w:t>
      </w:r>
      <w:proofErr w:type="spellStart"/>
      <w:r>
        <w:rPr>
          <w:rFonts w:ascii="Times New Roman" w:hAnsi="Times New Roman"/>
          <w:color w:val="0000FF"/>
          <w:sz w:val="28"/>
        </w:rPr>
        <w:t>Rct</w:t>
      </w:r>
      <w:proofErr w:type="spellEnd"/>
      <w:r>
        <w:rPr>
          <w:rFonts w:ascii="Times New Roman" w:hAnsi="Times New Roman"/>
          <w:color w:val="0000FF"/>
          <w:sz w:val="28"/>
        </w:rPr>
        <w:t xml:space="preserve"> одному механизму и согласуется с требованием химически специфичной идентификации [11].</w:t>
      </w:r>
    </w:p>
    <w:p w14:paraId="4F3051FE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формулы (1.14): феноменологическая форма введена для компактного учёта циклической и структурно-поляризационной составляющих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 xml:space="preserve"> деградации с опорой на механистические сведения [11]; это не опубликованный универсальный закон.</w:t>
      </w:r>
    </w:p>
    <w:p w14:paraId="0BC65D1C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color w:val="000000"/>
          <w:sz w:val="28"/>
          <w:szCs w:val="28"/>
        </w:rPr>
        <w:t xml:space="preserve">В инженерном представлении деградацию </w:t>
      </w:r>
      <w:r w:rsidR="009B2035" w:rsidRPr="00C30285">
        <w:rPr>
          <w:rFonts w:ascii="Times New Roman" w:hAnsi="Times New Roman" w:cs="Times New Roman"/>
          <w:color w:val="000000"/>
          <w:sz w:val="28"/>
          <w:szCs w:val="28"/>
        </w:rPr>
        <w:t>Na-</w:t>
      </w:r>
      <w:proofErr w:type="spellStart"/>
      <w:r w:rsidR="009B2035" w:rsidRPr="00C30285">
        <w:rPr>
          <w:rFonts w:ascii="Times New Roman" w:hAnsi="Times New Roman" w:cs="Times New Roman"/>
          <w:color w:val="000000"/>
          <w:sz w:val="28"/>
          <w:szCs w:val="28"/>
        </w:rPr>
        <w:t>ion</w:t>
      </w:r>
      <w:proofErr w:type="spellEnd"/>
      <w:r w:rsidRPr="00EE6018">
        <w:rPr>
          <w:rFonts w:ascii="Times New Roman" w:hAnsi="Times New Roman" w:cs="Times New Roman"/>
          <w:color w:val="000000"/>
          <w:sz w:val="28"/>
          <w:szCs w:val="28"/>
        </w:rPr>
        <w:t xml:space="preserve">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46B165E5" w14:textId="77777777" w:rsidTr="00FF4424">
        <w:tc>
          <w:tcPr>
            <w:tcW w:w="2571" w:type="dxa"/>
            <w:vAlign w:val="center"/>
          </w:tcPr>
          <w:p w14:paraId="53EEBADC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  <w:vAlign w:val="center"/>
          </w:tcPr>
          <w:p w14:paraId="088372E6" w14:textId="77777777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038" type="#_x0000_t75" style="width:171pt;height:20.25pt" o:ole="">
                  <v:imagedata r:id="rId35" o:title=""/>
                </v:shape>
                <o:OLEObject Type="Embed" ProgID="Equation.DSMT4" ShapeID="_x0000_i1038" DrawAspect="Content" ObjectID="_1847949822" r:id="rId36"/>
              </w:object>
            </w:r>
            <w:r w:rsidRPr="00B240A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714" w:type="dxa"/>
            <w:vAlign w:val="center"/>
          </w:tcPr>
          <w:p w14:paraId="35DBA764" w14:textId="77777777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(1.14)</w:t>
            </w:r>
          </w:p>
        </w:tc>
      </w:tr>
    </w:tbl>
    <w:p w14:paraId="1E9ECF5F" w14:textId="77777777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DNa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(N) — нормированная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деградационная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координата; N — число циклов; c1, c2, c3 — идентифицируемые коэффициенты;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ΔVstr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(N) — выбранный индикатор структурно-поляризационных изменений. Формула (1.14) является авторской феноменологической аппроксимацией. Последний член вводится для учёта нелинейного структурного вклада, а его конкретное определение должно задаваться через измеряемый признак в экспериментальной части. Для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важно анализировать связку «рост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→ рост поляризации/общего импеданса → снижение доступной мощности», не отождествляя её с единственным механизмом старения.</w:t>
      </w:r>
    </w:p>
    <w:p w14:paraId="4D86266F" w14:textId="77777777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Включение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расширяет область проверки модели за пределы классических Li-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химий. Корректный критерий обобщения состоит не в том, что одна и та же численная зависимость должна работать без изменений, а в сохранении структуры модели при повторной идентификации химически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специфичных коэффициентов и подтверждении прогностической ошибки на независимых данных.</w:t>
      </w:r>
    </w:p>
    <w:p w14:paraId="2E7D4FA2" w14:textId="77777777" w:rsidR="00740A8D" w:rsidRDefault="00000000">
      <w:r>
        <w:rPr>
          <w:rFonts w:ascii="Times New Roman" w:eastAsia="Times New Roman" w:hAnsi="Times New Roman"/>
          <w:color w:val="0000FF"/>
          <w:sz w:val="28"/>
        </w:rPr>
        <w:t>Сопоставление доминирующих механизмов, наиболее чувствительных импедансных признаков и эксплуатационных факторов для четырёх химических систем приведено в таблице 1.2.</w:t>
      </w:r>
    </w:p>
    <w:p w14:paraId="1864D57E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5EFBDE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таблицы 1.2: механизмы деградации систематизированы по литературным данным для NMC [5–7], LFP [8], LTO [9, 10] и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 xml:space="preserve"> [11]. Таблица представляет обзорное обобщение причинно-следственных связей, а не результаты собственных ресурсных испытаний.</w:t>
      </w:r>
    </w:p>
    <w:p w14:paraId="29F15D39" w14:textId="77777777" w:rsidR="00443C43" w:rsidRDefault="00443C43" w:rsidP="0042302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Таблица 1.2 — Доминирующие 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40008" w:rsidRPr="006C2D75" w14:paraId="39223773" w14:textId="77777777" w:rsidTr="006C2D75">
        <w:tc>
          <w:tcPr>
            <w:tcW w:w="2406" w:type="dxa"/>
            <w:vAlign w:val="center"/>
          </w:tcPr>
          <w:p w14:paraId="2B922B00" w14:textId="77777777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Химическая система</w:t>
            </w:r>
          </w:p>
        </w:tc>
        <w:tc>
          <w:tcPr>
            <w:tcW w:w="2407" w:type="dxa"/>
            <w:vAlign w:val="center"/>
          </w:tcPr>
          <w:p w14:paraId="218869EE" w14:textId="77777777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Доминирующие механизмы деградации</w:t>
            </w:r>
          </w:p>
        </w:tc>
        <w:tc>
          <w:tcPr>
            <w:tcW w:w="2407" w:type="dxa"/>
            <w:vAlign w:val="center"/>
          </w:tcPr>
          <w:p w14:paraId="09549B84" w14:textId="77777777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Наиболее чувствительные импедансные признаки</w:t>
            </w:r>
          </w:p>
        </w:tc>
        <w:tc>
          <w:tcPr>
            <w:tcW w:w="2407" w:type="dxa"/>
            <w:vAlign w:val="center"/>
          </w:tcPr>
          <w:p w14:paraId="0DDED872" w14:textId="77777777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Наиболее уязвимый эксплуатационный фактор</w:t>
            </w:r>
          </w:p>
        </w:tc>
      </w:tr>
      <w:tr w:rsidR="00140008" w:rsidRPr="006C2D75" w14:paraId="34A2F3C3" w14:textId="77777777" w:rsidTr="006C2D75">
        <w:tc>
          <w:tcPr>
            <w:tcW w:w="2406" w:type="dxa"/>
            <w:vAlign w:val="center"/>
          </w:tcPr>
          <w:p w14:paraId="70B60CCB" w14:textId="77777777" w:rsidR="00140008" w:rsidRPr="004F0CD9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NMC</w:t>
            </w:r>
          </w:p>
        </w:tc>
        <w:tc>
          <w:tcPr>
            <w:tcW w:w="2407" w:type="dxa"/>
            <w:vAlign w:val="center"/>
          </w:tcPr>
          <w:p w14:paraId="1315B5AB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</w:t>
            </w:r>
            <w:r w:rsidR="00885745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  <w:vAlign w:val="center"/>
          </w:tcPr>
          <w:p w14:paraId="42E72694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</w:t>
            </w:r>
            <w:r w:rsidR="0048460B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ыстрый рост </w:t>
            </w:r>
            <w:proofErr w:type="spellStart"/>
            <w:r w:rsidR="0048460B" w:rsidRPr="006C2D7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Rct</w:t>
            </w:r>
            <w:proofErr w:type="spellEnd"/>
            <w:r w:rsidR="0048460B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расширение полукруга графика Найквиста, усиление низкочастотного хвоста</w:t>
            </w:r>
          </w:p>
        </w:tc>
        <w:tc>
          <w:tcPr>
            <w:tcW w:w="2407" w:type="dxa"/>
            <w:vAlign w:val="center"/>
          </w:tcPr>
          <w:p w14:paraId="38BFE437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</w:t>
            </w:r>
            <w:r w:rsidR="00E22459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ысокий SOC, высокая температура, высокое верхнее напряжение</w:t>
            </w:r>
          </w:p>
        </w:tc>
      </w:tr>
      <w:tr w:rsidR="00140008" w:rsidRPr="006C2D75" w14:paraId="52723280" w14:textId="77777777" w:rsidTr="006C2D75">
        <w:tc>
          <w:tcPr>
            <w:tcW w:w="2406" w:type="dxa"/>
            <w:vAlign w:val="center"/>
          </w:tcPr>
          <w:p w14:paraId="6A6E5B40" w14:textId="77777777" w:rsidR="00140008" w:rsidRPr="004F0CD9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LFP</w:t>
            </w:r>
          </w:p>
        </w:tc>
        <w:tc>
          <w:tcPr>
            <w:tcW w:w="2407" w:type="dxa"/>
            <w:vAlign w:val="center"/>
          </w:tcPr>
          <w:p w14:paraId="26AF972B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</w:t>
            </w:r>
            <w:r w:rsidR="003C4AE3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отеря </w:t>
            </w:r>
            <w:proofErr w:type="spellStart"/>
            <w:r w:rsidR="003C4AE3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циклируемого</w:t>
            </w:r>
            <w:proofErr w:type="spellEnd"/>
            <w:r w:rsidR="003C4AE3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  <w:vAlign w:val="center"/>
          </w:tcPr>
          <w:p w14:paraId="39471C32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</w:t>
            </w:r>
            <w:r w:rsidR="003C4AE3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меренный рост </w:t>
            </w:r>
            <w:proofErr w:type="spellStart"/>
            <w:r w:rsidR="003C4AE3" w:rsidRPr="006C2D7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R</w:t>
            </w:r>
            <w:r w:rsidR="003C4AE3" w:rsidRPr="006C2D7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ct</w:t>
            </w:r>
            <w:proofErr w:type="spellEnd"/>
            <w:r w:rsidR="003C4AE3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выраженная диффузионная область</w:t>
            </w:r>
          </w:p>
        </w:tc>
        <w:tc>
          <w:tcPr>
            <w:tcW w:w="2407" w:type="dxa"/>
            <w:vAlign w:val="center"/>
          </w:tcPr>
          <w:p w14:paraId="78118041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</w:t>
            </w:r>
            <w:r w:rsidR="00AD1CE9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изкие температуры, длительное хранение при высоком SOC, высокий ток</w:t>
            </w:r>
          </w:p>
        </w:tc>
      </w:tr>
      <w:tr w:rsidR="00140008" w:rsidRPr="006C2D75" w14:paraId="7AB3ACFD" w14:textId="77777777" w:rsidTr="006C2D75">
        <w:tc>
          <w:tcPr>
            <w:tcW w:w="2406" w:type="dxa"/>
            <w:vAlign w:val="center"/>
          </w:tcPr>
          <w:p w14:paraId="02084021" w14:textId="77777777" w:rsidR="00140008" w:rsidRPr="004F0CD9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lastRenderedPageBreak/>
              <w:t>LTO</w:t>
            </w:r>
          </w:p>
        </w:tc>
        <w:tc>
          <w:tcPr>
            <w:tcW w:w="2407" w:type="dxa"/>
            <w:vAlign w:val="center"/>
          </w:tcPr>
          <w:p w14:paraId="1190ED7C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</w:t>
            </w:r>
            <w:r w:rsidR="00AD1CE9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ежфазное сопротивление, газообразование, катодная деградация, температурно-ускоренное старение</w:t>
            </w:r>
          </w:p>
        </w:tc>
        <w:tc>
          <w:tcPr>
            <w:tcW w:w="2407" w:type="dxa"/>
            <w:vAlign w:val="center"/>
          </w:tcPr>
          <w:p w14:paraId="7FF36A10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</w:t>
            </w:r>
            <w:r w:rsidR="002D5799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едленный рост </w:t>
            </w:r>
            <w:proofErr w:type="spellStart"/>
            <w:r w:rsidR="002D5799" w:rsidRPr="006C2D7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Rct</w:t>
            </w:r>
            <w:proofErr w:type="spellEnd"/>
            <w:r w:rsidR="002D5799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  <w:vAlign w:val="center"/>
          </w:tcPr>
          <w:p w14:paraId="3838EB9D" w14:textId="7777777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</w:t>
            </w:r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ысокие температуры, неблагоприятное SOC-окно, экстремальный </w:t>
            </w:r>
            <w:proofErr w:type="spellStart"/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power</w:t>
            </w:r>
            <w:proofErr w:type="spellEnd"/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cycling</w:t>
            </w:r>
            <w:proofErr w:type="spellEnd"/>
          </w:p>
        </w:tc>
      </w:tr>
      <w:tr w:rsidR="00140008" w:rsidRPr="006C2D75" w14:paraId="02DBDB5E" w14:textId="77777777" w:rsidTr="006C2D75">
        <w:tc>
          <w:tcPr>
            <w:tcW w:w="2406" w:type="dxa"/>
            <w:vAlign w:val="center"/>
          </w:tcPr>
          <w:p w14:paraId="5A0066A3" w14:textId="77777777" w:rsidR="00140008" w:rsidRPr="004F0CD9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Na-</w:t>
            </w:r>
            <w:proofErr w:type="spellStart"/>
            <w:r w:rsidRPr="004F0CD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ion</w:t>
            </w:r>
            <w:proofErr w:type="spellEnd"/>
          </w:p>
        </w:tc>
        <w:tc>
          <w:tcPr>
            <w:tcW w:w="2407" w:type="dxa"/>
            <w:vAlign w:val="center"/>
          </w:tcPr>
          <w:p w14:paraId="5C6E5773" w14:textId="77777777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</w:t>
            </w:r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естабильность интерфейса, структурные превращения катода, замедленный транспорт Na</w:t>
            </w:r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  <w:vertAlign w:val="superscript"/>
              </w:rPr>
              <w:t>+</w:t>
            </w:r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рост поляризации</w:t>
            </w:r>
          </w:p>
        </w:tc>
        <w:tc>
          <w:tcPr>
            <w:tcW w:w="2407" w:type="dxa"/>
            <w:vAlign w:val="center"/>
          </w:tcPr>
          <w:p w14:paraId="101DC79F" w14:textId="77777777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</w:t>
            </w:r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ысокий начальный </w:t>
            </w:r>
            <w:proofErr w:type="spellStart"/>
            <w:r w:rsidR="0056443E" w:rsidRPr="006C2D7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R</w:t>
            </w:r>
            <w:r w:rsidR="0056443E" w:rsidRPr="006C2D7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ct</w:t>
            </w:r>
            <w:proofErr w:type="spellEnd"/>
            <w:r w:rsidR="0056443E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крупные полукруги, сильный рост импеданса при старении</w:t>
            </w:r>
          </w:p>
        </w:tc>
        <w:tc>
          <w:tcPr>
            <w:tcW w:w="2407" w:type="dxa"/>
            <w:vAlign w:val="center"/>
          </w:tcPr>
          <w:p w14:paraId="617FE75E" w14:textId="77777777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</w:t>
            </w:r>
            <w:r w:rsidR="007154BD" w:rsidRPr="006C2D7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емпературные возмущения, высокие токи, неоднородность материала</w:t>
            </w:r>
          </w:p>
        </w:tc>
      </w:tr>
    </w:tbl>
    <w:p w14:paraId="477B4CEF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357F9" w14:textId="77777777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Как видно из таблицы 1.2, один и тот же макропризнак — например, рост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может иметь различную причинную структуру. Следовательно, параметрическая идентификация должна сопровождаться химически специфичной интерпретацией и контролем режима измерения.</w:t>
      </w:r>
    </w:p>
    <w:p w14:paraId="1292D290" w14:textId="77777777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color w:val="000000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25A48F64" w14:textId="77777777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Сравнительная нормированная карта механизмов, обобщающая литературные сведения для рассматриваемых химий, представлена на рисунке 1.4. Её назначение — не заменить количественную идентификацию механизма, а визуально показать различия профилей, которые должны быть отражены в параметрах модели.</w:t>
      </w:r>
    </w:p>
    <w:p w14:paraId="351DC832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1.4: тепловая карта является обзорной нормированной реконструкцией механистических выводов литературы [4–11]. Числовые индексы имеют сравнительно-иллюстративный характер и не </w:t>
      </w:r>
      <w:r>
        <w:rPr>
          <w:rFonts w:ascii="Times New Roman" w:hAnsi="Times New Roman"/>
          <w:color w:val="FF0000"/>
          <w:sz w:val="28"/>
        </w:rPr>
        <w:lastRenderedPageBreak/>
        <w:t>являются прямыми экспериментальными оценками долей отдельных механизмов.</w:t>
      </w:r>
    </w:p>
    <w:p w14:paraId="5295E9F9" w14:textId="77777777" w:rsidR="00216404" w:rsidRDefault="00D400C8" w:rsidP="0042302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40174ED7">
            <wp:extent cx="5599557" cy="2765146"/>
            <wp:effectExtent l="0" t="0" r="127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764" cy="2783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3DDE0E" w14:textId="77777777" w:rsidR="00D400C8" w:rsidRDefault="00824D26" w:rsidP="00423027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Рисунок 1.4 — Обзорная сравнительная карта доминирующих механизмов деградации</w:t>
      </w:r>
    </w:p>
    <w:p w14:paraId="4C7CAECE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обзорная нормированная систематизация механизмов деградации [4–11]; индексы имеют сравнительный, а не метрологический характер.</w:t>
      </w:r>
    </w:p>
    <w:p w14:paraId="664AE801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B36007" w14:textId="77777777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На рисунке 1.4 приведены безразмерные сравнительные индексы пяти групп механизмов. Их следует трактовать как обзорно-иллюстративную нормированную шкалу, сформированную по механистическим выводам литературы [4–11]; это не прямые доли реакций, вероятности или метрологические оценки вклада механизмов.</w:t>
      </w:r>
    </w:p>
    <w:p w14:paraId="1677DB71" w14:textId="77777777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В пределах этой шкалы для NMC сильнее выражены структурный и межфазный вклады, для LFP —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зарядопереносный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диффузионный, для LTO профиль более равномерный, а для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заметнее поляризационные и диффузионные ограничения. Качественная направленность такой интерпретации согласуется с рассмотренными источниками [5–11].</w:t>
      </w:r>
    </w:p>
    <w:p w14:paraId="0F2A2AF0" w14:textId="77777777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Методический результат рисунка 1.4 состоит в формировании химически специфичного приоритета признаков: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признаки структурно-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индуцированной поляризации для NMC; диффузионная область и межфазные параметры для LFP; долгосрочный дрейф межфазных параметров для LTO; совокупная поляризационная динамика для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. Количественная значимость каждого признака должна подтверждаться статистически в экспериментальной части.</w:t>
      </w:r>
    </w:p>
    <w:p w14:paraId="5FBDE518" w14:textId="77777777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color w:val="000000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130AB47F" w14:textId="7777777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 xml:space="preserve">Различие типовых форм </w:t>
      </w:r>
      <w:proofErr w:type="spellStart"/>
      <w:r>
        <w:rPr>
          <w:rFonts w:ascii="Times New Roman" w:hAnsi="Times New Roman"/>
          <w:color w:val="FF0000"/>
          <w:sz w:val="28"/>
        </w:rPr>
        <w:t>деградационных</w:t>
      </w:r>
      <w:proofErr w:type="spellEnd"/>
      <w:r>
        <w:rPr>
          <w:rFonts w:ascii="Times New Roman" w:hAnsi="Times New Roman"/>
          <w:color w:val="FF0000"/>
          <w:sz w:val="28"/>
        </w:rPr>
        <w:t xml:space="preserve"> траекторий рассматриваемых химических систем иллюстрируется на рисунке 1.5. Для прогнозирования принципиально важна не только точка пересечения условного порога ёмкости, но и кривизна траектории, определяющая скорость приближения к предельному состоянию.</w:t>
      </w:r>
    </w:p>
    <w:p w14:paraId="1CBB1965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CA0671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рисунка 1.5: кривые схематизируют характерные формы снижения относительной ёмкости, обсуждаемые для NMC, LFP, LTO и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 xml:space="preserve"> в </w:t>
      </w:r>
      <w:r>
        <w:rPr>
          <w:rFonts w:ascii="Times New Roman" w:hAnsi="Times New Roman"/>
          <w:color w:val="FF0000"/>
          <w:sz w:val="28"/>
        </w:rPr>
        <w:lastRenderedPageBreak/>
        <w:t>опубликованных исследованиях [5–11]. Это не оцифрованное воспроизведение одной экспериментальной серии и не собственный ресурсный эксперимент.</w:t>
      </w:r>
    </w:p>
    <w:p w14:paraId="7165F337" w14:textId="77777777" w:rsidR="003A7725" w:rsidRDefault="0000453A" w:rsidP="0042302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2D1CACA0">
            <wp:extent cx="5649586" cy="3195376"/>
            <wp:effectExtent l="0" t="0" r="8890" b="508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386" cy="320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080D6" w14:textId="77777777" w:rsidR="0000453A" w:rsidRPr="00A07748" w:rsidRDefault="0000453A" w:rsidP="00423027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Рисунок 1.5 — Схематизированное сопоставление типовых траекторий снижения относительной ёмкости</w:t>
      </w:r>
    </w:p>
    <w:p w14:paraId="32CB7553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схематизировано по опубликованным закономерностям деградации NMC, LFP, LTO и Na-</w:t>
      </w:r>
      <w:proofErr w:type="spellStart"/>
      <w:r>
        <w:rPr>
          <w:rFonts w:ascii="Times New Roman" w:hAnsi="Times New Roman"/>
          <w:color w:val="FF0000"/>
          <w:sz w:val="24"/>
        </w:rPr>
        <w:t>ion</w:t>
      </w:r>
      <w:proofErr w:type="spellEnd"/>
      <w:r>
        <w:rPr>
          <w:rFonts w:ascii="Times New Roman" w:hAnsi="Times New Roman"/>
          <w:color w:val="FF0000"/>
          <w:sz w:val="24"/>
        </w:rPr>
        <w:t xml:space="preserve"> [5–11].</w:t>
      </w:r>
    </w:p>
    <w:p w14:paraId="4260B410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E8AB86" w14:textId="77777777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На рисунке 1.5 схематизированы характерные формы зависимости C/C0 от числа циклов для NMC, LFP, LTO и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>, обобщённые по опубликованным закономерностям [5–11]. Линия 80 % используется как распространённый сравнительный критерий конца первой жизни батареи, но не трактуется как универсальная нормативная граница.</w:t>
      </w:r>
    </w:p>
    <w:p w14:paraId="0308E1C4" w14:textId="77777777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 xml:space="preserve">Сопоставление показывает различия возможной кривизны </w:t>
      </w:r>
      <w:proofErr w:type="spellStart"/>
      <w:r>
        <w:rPr>
          <w:rFonts w:ascii="Times New Roman" w:hAnsi="Times New Roman"/>
          <w:color w:val="FF0000"/>
          <w:sz w:val="28"/>
        </w:rPr>
        <w:t>деградационных</w:t>
      </w:r>
      <w:proofErr w:type="spellEnd"/>
      <w:r>
        <w:rPr>
          <w:rFonts w:ascii="Times New Roman" w:hAnsi="Times New Roman"/>
          <w:color w:val="FF0000"/>
          <w:sz w:val="28"/>
        </w:rPr>
        <w:t xml:space="preserve"> траекторий: для части NMC- и Na-</w:t>
      </w:r>
      <w:proofErr w:type="spellStart"/>
      <w:r>
        <w:rPr>
          <w:rFonts w:ascii="Times New Roman" w:hAnsi="Times New Roman"/>
          <w:color w:val="FF0000"/>
          <w:sz w:val="28"/>
        </w:rPr>
        <w:t>ion</w:t>
      </w:r>
      <w:proofErr w:type="spellEnd"/>
      <w:r>
        <w:rPr>
          <w:rFonts w:ascii="Times New Roman" w:hAnsi="Times New Roman"/>
          <w:color w:val="FF0000"/>
          <w:sz w:val="28"/>
        </w:rPr>
        <w:t>-систем в литературе отмечаются ускоряющиеся поздние участки, тогда как LFP и LTO способны дольше сохранять квазилинейный характер в определённых режимах [5–11]. Следовательно, единая линейная аппроксимация RUL для всех химических систем методически недостаточна.</w:t>
      </w:r>
    </w:p>
    <w:p w14:paraId="06C9C485" w14:textId="77777777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Практический вывод из рисунка 1.5 заключается в необходимости химически и режимно адаптивных критериев предупреждения: момент ограничения нагрузки должен определяться не только остаточной ёмкостью, но и текущим импедансом, скоростью его изменения и допустимой мощностью.</w:t>
      </w:r>
    </w:p>
    <w:p w14:paraId="0584CB29" w14:textId="77777777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color w:val="000000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27287C6" w14:textId="77777777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Даже при умеренной потере ёмкости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может возрастать быстрее и увеличивать поляризационные потери, снижать доступную мощность и изменять ошибку прогноза RUL. Поэтому динамика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(N), приведённая на рисунке 1.6, рассматривается как дополнительная ресурсная координата, а не как замена ёмкостному критерию.</w:t>
      </w:r>
    </w:p>
    <w:p w14:paraId="0ECFA81A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0B2FA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1.6: график является обзорной реконструкцией характерной тенденции роста сопротивления переноса заряда при старении, согласованной с механизмами, рассмотренными в [5–11]. Абсолютные значения </w:t>
      </w:r>
      <w:r>
        <w:rPr>
          <w:rFonts w:ascii="Times New Roman" w:hAnsi="Times New Roman"/>
          <w:color w:val="FF0000"/>
          <w:sz w:val="28"/>
        </w:rPr>
        <w:lastRenderedPageBreak/>
        <w:t>используются иллюстративно и не должны интерпретироваться как единый эталон для всех элементов данной химии.</w:t>
      </w:r>
    </w:p>
    <w:p w14:paraId="318F103D" w14:textId="77777777" w:rsidR="002A4021" w:rsidRDefault="002A4021" w:rsidP="0042302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A056E" wp14:editId="492BB71D">
            <wp:extent cx="5558808" cy="3136925"/>
            <wp:effectExtent l="0" t="0" r="3810" b="635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062" cy="314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6ED1D2" w14:textId="77777777" w:rsidR="002A4021" w:rsidRDefault="002A4021" w:rsidP="00423027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1.6 — Рост сопротивления переноса заряда в процессе старения</w:t>
      </w:r>
    </w:p>
    <w:p w14:paraId="2E744114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 xml:space="preserve">Источник: обзорная реконструкция характерной тенденции роста </w:t>
      </w:r>
      <w:proofErr w:type="spellStart"/>
      <w:r>
        <w:rPr>
          <w:rFonts w:ascii="Times New Roman" w:hAnsi="Times New Roman"/>
          <w:color w:val="FF0000"/>
          <w:sz w:val="24"/>
        </w:rPr>
        <w:t>Rct</w:t>
      </w:r>
      <w:proofErr w:type="spellEnd"/>
      <w:r>
        <w:rPr>
          <w:rFonts w:ascii="Times New Roman" w:hAnsi="Times New Roman"/>
          <w:color w:val="FF0000"/>
          <w:sz w:val="24"/>
        </w:rPr>
        <w:t xml:space="preserve"> при старении по [5–11].</w:t>
      </w:r>
    </w:p>
    <w:p w14:paraId="3CF1634C" w14:textId="77777777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 xml:space="preserve">На рисунке 1.6 представлена обзорная реконструкция характерного роста </w:t>
      </w:r>
      <w:proofErr w:type="spellStart"/>
      <w:r>
        <w:rPr>
          <w:rFonts w:ascii="Times New Roman" w:hAnsi="Times New Roman"/>
          <w:color w:val="FF0000"/>
          <w:sz w:val="28"/>
        </w:rPr>
        <w:t>Rct</w:t>
      </w:r>
      <w:proofErr w:type="spellEnd"/>
      <w:r>
        <w:rPr>
          <w:rFonts w:ascii="Times New Roman" w:hAnsi="Times New Roman"/>
          <w:color w:val="FF0000"/>
          <w:sz w:val="28"/>
        </w:rPr>
        <w:t xml:space="preserve"> при старении для различных химических систем. Абсолютный уровень </w:t>
      </w:r>
      <w:proofErr w:type="spellStart"/>
      <w:r>
        <w:rPr>
          <w:rFonts w:ascii="Times New Roman" w:hAnsi="Times New Roman"/>
          <w:color w:val="FF0000"/>
          <w:sz w:val="28"/>
        </w:rPr>
        <w:t>Rct</w:t>
      </w:r>
      <w:proofErr w:type="spellEnd"/>
      <w:r>
        <w:rPr>
          <w:rFonts w:ascii="Times New Roman" w:hAnsi="Times New Roman"/>
          <w:color w:val="FF0000"/>
          <w:sz w:val="28"/>
        </w:rPr>
        <w:t xml:space="preserve"> зависит от форм-фактора, площади электродов, SOC, температуры и принятой эквивалентной схемы; поэтому рисунок используется для демонстрации тенденции, а не для количественного </w:t>
      </w:r>
      <w:proofErr w:type="spellStart"/>
      <w:r>
        <w:rPr>
          <w:rFonts w:ascii="Times New Roman" w:hAnsi="Times New Roman"/>
          <w:color w:val="FF0000"/>
          <w:sz w:val="28"/>
        </w:rPr>
        <w:t>межхимического</w:t>
      </w:r>
      <w:proofErr w:type="spellEnd"/>
      <w:r>
        <w:rPr>
          <w:rFonts w:ascii="Times New Roman" w:hAnsi="Times New Roman"/>
          <w:color w:val="FF0000"/>
          <w:sz w:val="28"/>
        </w:rPr>
        <w:t xml:space="preserve"> сравнения конкретных коммерческих элементов.</w:t>
      </w:r>
    </w:p>
    <w:p w14:paraId="137B3BF2" w14:textId="77777777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Основной научный вывод из рисунка 1.6 состоит не в универсальности одного численного порога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а в переносимости физического признака при химически специфичной калибровке. Это формирует проверяемую гипотезу последующих глав: скорость изменения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связанных спектральных параметров должна повышать раннюю чувствительность оценки SOH/RUL относительно одной ёмкости.</w:t>
      </w:r>
    </w:p>
    <w:p w14:paraId="79B76483" w14:textId="77777777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color w:val="000000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0B97FF3D" w14:textId="77777777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Температурная чувствительность деградации требует явного включения T в ресурсную модель. Относительные коэффициенты температурного ускорения для исследуемой термоциклической серии представлены на рисунке 1.7; их интерпретация ограничивается использованным диапазоном температур и режимов.</w:t>
      </w:r>
    </w:p>
    <w:p w14:paraId="61276E32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BB665B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1.7: температурная зависимость представлена как обзорная нормированная иллюстрация </w:t>
      </w:r>
      <w:proofErr w:type="spellStart"/>
      <w:r>
        <w:rPr>
          <w:rFonts w:ascii="Times New Roman" w:hAnsi="Times New Roman"/>
          <w:color w:val="FF0000"/>
          <w:sz w:val="28"/>
        </w:rPr>
        <w:t>аррениусовского</w:t>
      </w:r>
      <w:proofErr w:type="spellEnd"/>
      <w:r>
        <w:rPr>
          <w:rFonts w:ascii="Times New Roman" w:hAnsi="Times New Roman"/>
          <w:color w:val="FF0000"/>
          <w:sz w:val="28"/>
        </w:rPr>
        <w:t xml:space="preserve"> ускорения </w:t>
      </w:r>
      <w:proofErr w:type="spellStart"/>
      <w:r>
        <w:rPr>
          <w:rFonts w:ascii="Times New Roman" w:hAnsi="Times New Roman"/>
          <w:color w:val="FF0000"/>
          <w:sz w:val="28"/>
        </w:rPr>
        <w:t>деградационных</w:t>
      </w:r>
      <w:proofErr w:type="spellEnd"/>
      <w:r>
        <w:rPr>
          <w:rFonts w:ascii="Times New Roman" w:hAnsi="Times New Roman"/>
          <w:color w:val="FF0000"/>
          <w:sz w:val="28"/>
        </w:rPr>
        <w:t xml:space="preserve"> процессов и химически зависимой чувствительности [4, 5, 8–11]. Рисунок не является результатом собственной термоциклической серии.</w:t>
      </w:r>
    </w:p>
    <w:p w14:paraId="70528400" w14:textId="77777777" w:rsidR="007846DD" w:rsidRDefault="007846DD" w:rsidP="0042302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0E4D5E6A">
            <wp:extent cx="5677469" cy="3204793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435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9EF720" w14:textId="77777777" w:rsidR="007846DD" w:rsidRDefault="007846DD" w:rsidP="00423027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Рисунок 1.7 — Иллюстративная температурная зависимость ускорения деградации аккумуляторных систем</w:t>
      </w:r>
    </w:p>
    <w:p w14:paraId="757B5BAA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обзорная реконструкция температурного ускорения деградации на основе закона Аррениуса и данных [4, 5, 8–11].</w:t>
      </w:r>
    </w:p>
    <w:p w14:paraId="18788F2F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19AC74" w14:textId="77777777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 xml:space="preserve">На рисунке 1.7 представлены нормированные иллюстративные коэффициенты температурного ускорения. Нелинейный рост согласуется с </w:t>
      </w:r>
      <w:proofErr w:type="spellStart"/>
      <w:r>
        <w:rPr>
          <w:rFonts w:ascii="Times New Roman" w:hAnsi="Times New Roman"/>
          <w:color w:val="FF0000"/>
          <w:sz w:val="28"/>
        </w:rPr>
        <w:lastRenderedPageBreak/>
        <w:t>аррениусовской</w:t>
      </w:r>
      <w:proofErr w:type="spellEnd"/>
      <w:r>
        <w:rPr>
          <w:rFonts w:ascii="Times New Roman" w:hAnsi="Times New Roman"/>
          <w:color w:val="FF0000"/>
          <w:sz w:val="28"/>
        </w:rPr>
        <w:t xml:space="preserve"> формой (1.11), а различия между химиями отражают обобщённую литературную тенденцию [4, 5, 8–11], а не результаты собственной термоциклической серии.</w:t>
      </w:r>
    </w:p>
    <w:p w14:paraId="47F9C8B0" w14:textId="77777777" w:rsidR="00956A45" w:rsidRDefault="0080637A" w:rsidP="0042302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Рисунок 1.7 обосновывает необходимость температурной нормализации импедансных признаков: без неё один и тот же </w:t>
      </w:r>
      <w:proofErr w:type="spellStart"/>
      <w:r>
        <w:rPr>
          <w:rFonts w:ascii="Times New Roman" w:hAnsi="Times New Roman"/>
          <w:color w:val="0000FF"/>
          <w:sz w:val="28"/>
        </w:rPr>
        <w:t>Rct</w:t>
      </w:r>
      <w:proofErr w:type="spellEnd"/>
      <w:r>
        <w:rPr>
          <w:rFonts w:ascii="Times New Roman" w:hAnsi="Times New Roman"/>
          <w:color w:val="0000FF"/>
          <w:sz w:val="28"/>
        </w:rPr>
        <w:t xml:space="preserve"> при разных T может быть ошибочно интерпретирован как различная степень деградации. В последующих моделях это должно устраняться явным параметром T либо приведением признаков к опорной температуре.</w:t>
      </w:r>
    </w:p>
    <w:p w14:paraId="5494ED04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Итак, рассмотренные химические системы имеют общие классы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деградационных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процессов, но различаются их относительной значимостью и кинетикой. Отсюда следует ключевой принцип диссертации: математическое ядро диагностики должно быть унифицировано по структуре, а параметры интерпретации — идентифицироваться для химии и режима. Такая формулировка ограничивает необоснованные универсальные экстраполяции и делает гипотезу экспериментально проверяемой.</w:t>
      </w:r>
    </w:p>
    <w:p w14:paraId="70558D90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24C8B9" w14:textId="77777777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23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1.3 Показатели технического состояния аккумуляторных батарей: </w:t>
      </w:r>
      <w:r w:rsidRPr="00B34238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SOC</w:t>
      </w:r>
      <w:r w:rsidRPr="00B3423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, </w:t>
      </w:r>
      <w:r w:rsidRPr="00B34238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SOH</w:t>
      </w:r>
      <w:r w:rsidRPr="00B3423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, </w:t>
      </w:r>
      <w:r w:rsidRPr="00B34238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SOF</w:t>
      </w:r>
      <w:r w:rsidRPr="00B3423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и </w:t>
      </w:r>
      <w:r w:rsidRPr="00B34238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RUL</w:t>
      </w:r>
    </w:p>
    <w:p w14:paraId="27351AFB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58C462" w14:textId="77777777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Оценка технического состояния тяговой аккумуляторной батареи требует системы взаимосвязанных показателей, поскольку запас заряда, степень накопленной деградации, доступная мощность и прогнозируемая долговечность описывают разные временные и физические уровни состояния. В настоящей работе используются SOC, SOH, SOF и RUL; их совместное рассмотрение необходимо для перехода от мониторинга текущего режима к диагностике и прогнозированию ресурса.</w:t>
      </w:r>
    </w:p>
    <w:p w14:paraId="5772BC17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Между этими показателями существует иерархическая связь. SOC характеризует краткосрочный энергетический уровень; SOH — накопленную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деградацию относительно исходного состояния; SOF — доступную в текущих условиях функциональную, прежде всего мощностную, способность; RUL — прогнозируемый интервал до принятого предельного состояния. Поэтому RUL не является независимой измеряемой величиной: он формируется из текущего состояния и модели его дальнейшей эволюции.</w:t>
      </w:r>
    </w:p>
    <w:p w14:paraId="67A6AC0C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234592" w14:textId="77777777" w:rsidR="008733DF" w:rsidRPr="00971D25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1.3.1 Состояние заряда батареи</w:t>
      </w:r>
      <w:r w:rsidR="00B259C2" w:rsidRPr="00971D2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B259C2" w:rsidRPr="00B259C2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</w:t>
      </w:r>
      <w:r w:rsidR="00B259C2" w:rsidRPr="00B259C2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lang w:val="en-US"/>
        </w:rPr>
        <w:t>C</w:t>
      </w:r>
    </w:p>
    <w:p w14:paraId="64309328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8A4A50" w14:textId="77777777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Состояние заряда SOC в нормированной форме определяется как отношение текущего доступного заряда Q(t) к номинальной ёмкости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Qnom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принятой в формуле (1.15) в качестве опорной величины: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B0B1EEF" w14:textId="77777777" w:rsidTr="00FF4424">
        <w:tc>
          <w:tcPr>
            <w:tcW w:w="3209" w:type="dxa"/>
            <w:vAlign w:val="center"/>
          </w:tcPr>
          <w:p w14:paraId="7251ACAF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25ABCAC" w14:textId="77777777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039" type="#_x0000_t75" style="width:107.25pt;height:33.75pt" o:ole="">
                  <v:imagedata r:id="rId41" o:title=""/>
                </v:shape>
                <o:OLEObject Type="Embed" ProgID="Equation.DSMT4" ShapeID="_x0000_i1039" DrawAspect="Content" ObjectID="_1847949823" r:id="rId42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E04D925" w14:textId="7777777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(1.15)</w:t>
            </w:r>
          </w:p>
        </w:tc>
      </w:tr>
    </w:tbl>
    <w:p w14:paraId="44AE7D08" w14:textId="77777777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Q(t) — текущий доступный заряд;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Qnom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номинальная ёмкость батареи, используемая здесь как опорная величина. Формула (1.15) является определением нормированного состояния заряда. Если в конкретном BMS знаменатель заменяется актуализированной доступной ёмкостью, это должно быть явно отражено в алгоритме, поскольку численная интерпретация SOC изменяется [2].</w:t>
      </w:r>
    </w:p>
    <w:p w14:paraId="74FF7D4F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При оценке SOC по измеряемому току используется интегральный баланс заряда — кулоновский счёт: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785EAACA" w14:textId="77777777" w:rsidTr="00FF4424">
        <w:tc>
          <w:tcPr>
            <w:tcW w:w="2716" w:type="dxa"/>
            <w:vAlign w:val="center"/>
          </w:tcPr>
          <w:p w14:paraId="08774500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  <w:vAlign w:val="center"/>
          </w:tcPr>
          <w:p w14:paraId="629EC9DE" w14:textId="7777777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040" type="#_x0000_t75" style="width:158.25pt;height:33.75pt" o:ole="">
                  <v:imagedata r:id="rId43" o:title=""/>
                </v:shape>
                <o:OLEObject Type="Embed" ProgID="Equation.DSMT4" ShapeID="_x0000_i1040" DrawAspect="Content" ObjectID="_1847949824" r:id="rId44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827" w:type="dxa"/>
            <w:vAlign w:val="center"/>
          </w:tcPr>
          <w:p w14:paraId="00B344AF" w14:textId="7777777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(1.16)</w:t>
            </w:r>
          </w:p>
        </w:tc>
      </w:tr>
    </w:tbl>
    <w:p w14:paraId="62CAF095" w14:textId="77777777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SOC(t0) — оценка состояния заряда в начальный момент t0;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Cnom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номинальная ёмкость, используемая в знаменателе интегрального баланса (1.16); I(τ) — ток батареи с принятой в работе системой знаков; τ — переменная интегрирования. Формула (1.16) является следствием закона сохранения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электрического заряда и соответствует базовой структуре алгоритмов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coulomb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counting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; её рекурсивные модификации широко применяются в BMS [2].</w:t>
      </w:r>
    </w:p>
    <w:p w14:paraId="1E7C6A69" w14:textId="77777777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Принципиальное ограничение кулоновского счёта состоит в интегральном накоплении ошибки. Смещение датчика тока, неточность начального SOC и несоответствие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Cnom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фактической доступной ёмкости приводят к дрейфу оценки; старение батареи делает последний фактор особенно существенным. Поэтому SOC должен периодически корректироваться по дополнительным наблюдаемым признакам или оцениваться в составе наблюдателя состояния [2].</w:t>
      </w:r>
    </w:p>
    <w:p w14:paraId="260AEF4D" w14:textId="7777777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Для тягового применения ошибки усиливаются частичными циклами, частой рекуперацией, изменением температуры и знакопеременным током. Это ограничивает использование одного SOC как ресурсного индикатора: одинаковый SOC может соответствовать существенно различным внутренним сопротивлениям и доступной мощности у новой и деградировавшей батареи.</w:t>
      </w:r>
    </w:p>
    <w:p w14:paraId="0C8B1672" w14:textId="7777777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Методически из этого следует разделять две задачи: оценивание текущего энергетического состояния SOC и идентификацию медленно меняющихся параметров деградации. В последующих главах их совместное использование рассматривается как условие устойчивой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импедансно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-ориентированной диагностики.</w:t>
      </w:r>
    </w:p>
    <w:p w14:paraId="4EE8D31A" w14:textId="7777777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Характер накопления ошибки кулоновского счёта иллюстрируется на рисунке 1.8. Представленный пример имеет методический характер и показывает механизм дрейфа оценки при интегрировании тока; он не рассматривается как результат собственного измерительного эксперимента.</w:t>
      </w:r>
    </w:p>
    <w:p w14:paraId="54F7756B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607612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1.8: график является методической иллюстрацией накопления ошибки кулоновского счёта, вытекающего из интегральной оценки </w:t>
      </w:r>
      <w:r>
        <w:rPr>
          <w:rFonts w:ascii="Times New Roman" w:hAnsi="Times New Roman"/>
          <w:color w:val="FF0000"/>
          <w:sz w:val="28"/>
        </w:rPr>
        <w:lastRenderedPageBreak/>
        <w:t>SOC и известных источников дрейфа [2]. Он не представляет собственный измерительный набор данных.</w:t>
      </w:r>
    </w:p>
    <w:p w14:paraId="739E4F1A" w14:textId="77777777" w:rsidR="00074F0F" w:rsidRDefault="00486F2C" w:rsidP="0042302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64B852CD">
            <wp:extent cx="5663821" cy="3102756"/>
            <wp:effectExtent l="0" t="0" r="0" b="254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060" cy="3111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D8BFD" w14:textId="77777777" w:rsidR="00486F2C" w:rsidRPr="00486F2C" w:rsidRDefault="00486F2C" w:rsidP="00423027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1.8 — Накопление ошибки оценки состояния заряда при длительном движении</w:t>
      </w:r>
    </w:p>
    <w:p w14:paraId="09001FFC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методическая иллюстрация накопления ошибки кулоновского счёта по постановке [2].</w:t>
      </w:r>
    </w:p>
    <w:p w14:paraId="64D7CD6D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F0C85B" w14:textId="77777777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 рисунке 1.8 сопоставлены опорная траектория SOC и оценка, полученная интегрированием тока. Расхождение возрастает по мере накопления пропущенного через батарею заряда, что соответствует механизму интегрирования систематической составляющей ошибки.</w:t>
      </w:r>
    </w:p>
    <w:p w14:paraId="41432B44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Методический вывод из рисунка 1.8 состоит в том, что SOC необходим для описания текущего режима, но недостаточен как самостоятельный показатель деградации и ресурса. Практически это обосновывает сочетание кулоновского счёта с параметрическими или наблюдательными оценками медленно меняющегося состояния батареи.</w:t>
      </w:r>
    </w:p>
    <w:p w14:paraId="48DFB23C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C57C2A" w14:textId="77777777" w:rsidR="00AA580B" w:rsidRPr="00971D25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571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1.3.2 Состояние здоровья батареи</w:t>
      </w:r>
      <w:r w:rsidR="00AE119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AE1196" w:rsidRPr="00AE1196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lang w:val="en-US"/>
        </w:rPr>
        <w:t>SOH</w:t>
      </w:r>
    </w:p>
    <w:p w14:paraId="5B394553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257AD6" w14:textId="77777777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/>
          <w:color w:val="0000FF"/>
          <w:sz w:val="28"/>
        </w:rPr>
        <w:t>Показатель SOH предназначен для количественного описания накопленной деградации относительно заданного исходного состояния. Наиболее распространённая ёмкостная форма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18"/>
        <w:gridCol w:w="3209"/>
      </w:tblGrid>
      <w:tr w:rsidR="009D4F23" w14:paraId="220998BD" w14:textId="77777777" w:rsidTr="00FF4424">
        <w:tc>
          <w:tcPr>
            <w:tcW w:w="6418" w:type="dxa"/>
            <w:vAlign w:val="center"/>
          </w:tcPr>
          <w:p w14:paraId="1BE63CFC" w14:textId="77777777" w:rsidR="00740A8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DC11E9" wp14:editId="64A7D250">
                  <wp:extent cx="1874519" cy="357478"/>
                  <wp:effectExtent l="0" t="0" r="0" b="0"/>
                  <wp:docPr id="2112960505" name="Picture 21129605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357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9" w:type="dxa"/>
            <w:vAlign w:val="center"/>
          </w:tcPr>
          <w:p w14:paraId="6ABE4FD5" w14:textId="77777777" w:rsidR="00740A8D" w:rsidRDefault="00000000">
            <w:pPr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(1.17)</w:t>
            </w:r>
          </w:p>
        </w:tc>
      </w:tr>
    </w:tbl>
    <w:p w14:paraId="653555E3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Cact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текущая доступная ёмкость, определённая при заданном протоколе; C0 — исходная доступная ёмкость при том же протоколе. Формула (1.17) является определением ёмкостного SOH, а не самостоятельным законом старения. Сопоставимость значений требует одинаковых условий измерения температуры, тока и диапазона SOC.</w:t>
      </w:r>
    </w:p>
    <w:p w14:paraId="4A2CCD64" w14:textId="77777777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Ёмкостная трактовка фиксирует только потерю способности накапливать и отдавать заряд. Для тяговой системы этого недостаточно, поскольку ресурсные ограничения могут возникать раньше вследствие роста поляризации, сопротивления и тепловыделения при ещё приемлемой ёмкости [12, 13].</w:t>
      </w:r>
    </w:p>
    <w:p w14:paraId="33D04CB2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отражения резистивной деградации вводят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сопротивленческие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или комбинированные индексы SOH. Их смысл состоит в сравнении текущего сопротивления с исходным и предельным уровнями либо в построении химически специфичной функции от параметров импеданса: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5637AB3" w14:textId="77777777" w:rsidTr="00FF4424">
        <w:tc>
          <w:tcPr>
            <w:tcW w:w="3209" w:type="dxa"/>
            <w:vAlign w:val="center"/>
          </w:tcPr>
          <w:p w14:paraId="591B1A8F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FD6CE3D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041" type="#_x0000_t75" style="width:97.5pt;height:33.75pt" o:ole="">
                  <v:imagedata r:id="rId47" o:title=""/>
                </v:shape>
                <o:OLEObject Type="Embed" ProgID="Equation.DSMT4" ShapeID="_x0000_i1041" DrawAspect="Content" ObjectID="_1847949825" r:id="rId48"/>
              </w:object>
            </w:r>
          </w:p>
        </w:tc>
        <w:tc>
          <w:tcPr>
            <w:tcW w:w="3209" w:type="dxa"/>
            <w:vAlign w:val="center"/>
          </w:tcPr>
          <w:p w14:paraId="6EB308BF" w14:textId="77777777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(1.18)</w:t>
            </w:r>
          </w:p>
        </w:tc>
      </w:tr>
    </w:tbl>
    <w:p w14:paraId="346713D9" w14:textId="77777777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В более специализированной скалярной постановке для настоящей работы один из импедансных индексов состояния связывается непосредственно с сопротивлением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33A42321" w14:textId="77777777" w:rsidTr="00FF4424">
        <w:tc>
          <w:tcPr>
            <w:tcW w:w="3209" w:type="dxa"/>
            <w:vAlign w:val="center"/>
          </w:tcPr>
          <w:p w14:paraId="7171381B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F826091" w14:textId="7777777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042" type="#_x0000_t75" style="width:78pt;height:18pt" o:ole="">
                  <v:imagedata r:id="rId49" o:title=""/>
                </v:shape>
                <o:OLEObject Type="Embed" ProgID="Equation.DSMT4" ShapeID="_x0000_i1042" DrawAspect="Content" ObjectID="_1847949826" r:id="rId50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7BF5EC9" w14:textId="77777777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(1.19)</w:t>
            </w:r>
          </w:p>
        </w:tc>
      </w:tr>
    </w:tbl>
    <w:p w14:paraId="3AE48839" w14:textId="77777777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SOHR —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сопротивленческий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индекс состояния; R0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Ract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исходное и текущее значения выбранного сопротивления при одинаковом режиме измерения;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SOHct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индекс состояния по сопротивлению переноса заряда;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F(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) — идентифицируемая химически и режимно специфичная функция преобразования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в индекс SOH. Формулы (1.18)–(1.19) следует трактовать как определения диагностических индексов; коэффициенты F должны устанавливаться по экспериментальным данным, а не задаваться априорно.</w:t>
      </w:r>
    </w:p>
    <w:p w14:paraId="6C4AC760" w14:textId="77777777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Физическое основание использования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следует из кинетики межфазного переноса заряда. В окрестности равновесия линеаризация уравнения Батлера–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Фольмера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приводит к соотношению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3E1DFE6D" w14:textId="77777777" w:rsidTr="00FF4424">
        <w:tc>
          <w:tcPr>
            <w:tcW w:w="3209" w:type="dxa"/>
            <w:vAlign w:val="center"/>
          </w:tcPr>
          <w:p w14:paraId="0BCF9175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50BF86A" w14:textId="77777777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043" type="#_x0000_t75" style="width:48pt;height:33.75pt" o:ole="">
                  <v:imagedata r:id="rId51" o:title=""/>
                </v:shape>
                <o:OLEObject Type="Embed" ProgID="Equation.DSMT4" ShapeID="_x0000_i1043" DrawAspect="Content" ObjectID="_1847949827" r:id="rId52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745DC37" w14:textId="77777777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(1.20)</w:t>
            </w:r>
          </w:p>
        </w:tc>
      </w:tr>
    </w:tbl>
    <w:p w14:paraId="1FB66A46" w14:textId="77777777" w:rsidR="00A1102D" w:rsidRPr="00764CBB" w:rsidRDefault="00390659" w:rsidP="00FF44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сопротивление переноса заряда; R — универсальная газовая постоянная; T — абсолютная температура; F — постоянная Фарадея; i0 — обменный ток. Формула (1.20) имеет то же происхождение, что и (1.7), (1.9): уменьшение эффективной активной площади и ухудшение межфазной кинетики снижают i0 и увеличивают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[1]. Следовательно,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физически информативен, но требует температурной и SOC-нормализации.</w:t>
      </w:r>
    </w:p>
    <w:p w14:paraId="3417CEA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Различия ёмкостного,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сопротивленческого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импедансного и комбинированного определения SOH систематизированы в таблице 1.3. Такое сопоставление необходимо, поскольку термин SOH не имеет единственной измерительной реализации и его численное значение зависит от выбранного критерия.</w:t>
      </w:r>
    </w:p>
    <w:p w14:paraId="105ED01B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625894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таблицы 1.3: формы представления SOH сведены на основе общепринятых подходов к оценке состояния и прогнозированию ресурса </w:t>
      </w:r>
      <w:r>
        <w:rPr>
          <w:rFonts w:ascii="Times New Roman" w:hAnsi="Times New Roman"/>
          <w:color w:val="FF0000"/>
          <w:sz w:val="28"/>
        </w:rPr>
        <w:lastRenderedPageBreak/>
        <w:t>батарей [2, 12, 13]. Таблица является аналитической систематизацией литературы.</w:t>
      </w:r>
    </w:p>
    <w:p w14:paraId="77ECE527" w14:textId="77777777" w:rsidR="00390659" w:rsidRPr="00764CBB" w:rsidRDefault="00371DD5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Таблица 1.3 —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62"/>
        <w:gridCol w:w="2676"/>
        <w:gridCol w:w="2266"/>
        <w:gridCol w:w="2323"/>
      </w:tblGrid>
      <w:tr w:rsidR="00B509A7" w:rsidRPr="00760BEF" w14:paraId="341E79BB" w14:textId="77777777" w:rsidTr="0018505B">
        <w:tc>
          <w:tcPr>
            <w:tcW w:w="2406" w:type="dxa"/>
            <w:vAlign w:val="center"/>
          </w:tcPr>
          <w:p w14:paraId="561FFCA2" w14:textId="77777777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Форма показателя</w:t>
            </w:r>
          </w:p>
        </w:tc>
        <w:tc>
          <w:tcPr>
            <w:tcW w:w="2407" w:type="dxa"/>
            <w:vAlign w:val="center"/>
          </w:tcPr>
          <w:p w14:paraId="242BA93F" w14:textId="77777777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Формула</w:t>
            </w:r>
          </w:p>
        </w:tc>
        <w:tc>
          <w:tcPr>
            <w:tcW w:w="2407" w:type="dxa"/>
            <w:vAlign w:val="center"/>
          </w:tcPr>
          <w:p w14:paraId="3A0899EC" w14:textId="77777777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Физический смысл</w:t>
            </w:r>
          </w:p>
        </w:tc>
        <w:tc>
          <w:tcPr>
            <w:tcW w:w="2407" w:type="dxa"/>
            <w:vAlign w:val="center"/>
          </w:tcPr>
          <w:p w14:paraId="7705C9DF" w14:textId="77777777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Ограничение</w:t>
            </w:r>
          </w:p>
        </w:tc>
      </w:tr>
      <w:tr w:rsidR="00B509A7" w:rsidRPr="00760BEF" w14:paraId="2C511BC8" w14:textId="77777777" w:rsidTr="0018505B">
        <w:tc>
          <w:tcPr>
            <w:tcW w:w="2406" w:type="dxa"/>
            <w:vAlign w:val="center"/>
          </w:tcPr>
          <w:p w14:paraId="1030CF62" w14:textId="77777777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Ёмкостная</w:t>
            </w:r>
          </w:p>
        </w:tc>
        <w:tc>
          <w:tcPr>
            <w:tcW w:w="2407" w:type="dxa"/>
            <w:vAlign w:val="center"/>
          </w:tcPr>
          <w:p w14:paraId="3B908AEA" w14:textId="77777777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  <w:lang w:val="en-US"/>
              </w:rPr>
              <w:object w:dxaOrig="1640" w:dyaOrig="360" w14:anchorId="1EE898F0">
                <v:shape id="_x0000_i1044" type="#_x0000_t75" style="width:82.5pt;height:18pt" o:ole="">
                  <v:imagedata r:id="rId53" o:title=""/>
                </v:shape>
                <o:OLEObject Type="Embed" ProgID="Equation.DSMT4" ShapeID="_x0000_i1044" DrawAspect="Content" ObjectID="_1847949828" r:id="rId54"/>
              </w:object>
            </w:r>
          </w:p>
        </w:tc>
        <w:tc>
          <w:tcPr>
            <w:tcW w:w="2407" w:type="dxa"/>
            <w:vAlign w:val="center"/>
          </w:tcPr>
          <w:p w14:paraId="332E0235" w14:textId="77777777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Потеря способности накапливать заряд</w:t>
            </w:r>
          </w:p>
        </w:tc>
        <w:tc>
          <w:tcPr>
            <w:tcW w:w="2407" w:type="dxa"/>
            <w:vAlign w:val="center"/>
          </w:tcPr>
          <w:p w14:paraId="071784DF" w14:textId="77777777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FF"/>
                <w:sz w:val="24"/>
              </w:rPr>
              <w:t>Слабая чувствительность к раннему снижению допустимой мощности</w:t>
            </w:r>
          </w:p>
        </w:tc>
      </w:tr>
      <w:tr w:rsidR="00B509A7" w:rsidRPr="00760BEF" w14:paraId="4D7C4720" w14:textId="77777777" w:rsidTr="0018505B">
        <w:tc>
          <w:tcPr>
            <w:tcW w:w="2406" w:type="dxa"/>
            <w:vAlign w:val="center"/>
          </w:tcPr>
          <w:p w14:paraId="3EA3870C" w14:textId="77777777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Резистивная</w:t>
            </w:r>
          </w:p>
        </w:tc>
        <w:tc>
          <w:tcPr>
            <w:tcW w:w="2407" w:type="dxa"/>
            <w:vAlign w:val="center"/>
          </w:tcPr>
          <w:p w14:paraId="2280A476" w14:textId="77777777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620" w:dyaOrig="360" w14:anchorId="19708454">
                <v:shape id="_x0000_i1045" type="#_x0000_t75" style="width:80.25pt;height:18pt" o:ole="">
                  <v:imagedata r:id="rId55" o:title=""/>
                </v:shape>
                <o:OLEObject Type="Embed" ProgID="Equation.DSMT4" ShapeID="_x0000_i1045" DrawAspect="Content" ObjectID="_1847949829" r:id="rId56"/>
              </w:object>
            </w:r>
          </w:p>
        </w:tc>
        <w:tc>
          <w:tcPr>
            <w:tcW w:w="2407" w:type="dxa"/>
            <w:vAlign w:val="center"/>
          </w:tcPr>
          <w:p w14:paraId="3C32192F" w14:textId="77777777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Рост внутренних потерь и снижение мощности</w:t>
            </w:r>
          </w:p>
        </w:tc>
        <w:tc>
          <w:tcPr>
            <w:tcW w:w="2407" w:type="dxa"/>
            <w:vAlign w:val="center"/>
          </w:tcPr>
          <w:p w14:paraId="68FD0380" w14:textId="77777777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Интегральная трактовка, без разделения механизмов</w:t>
            </w:r>
          </w:p>
        </w:tc>
      </w:tr>
      <w:tr w:rsidR="00B509A7" w:rsidRPr="00760BEF" w14:paraId="5087A3DE" w14:textId="77777777" w:rsidTr="0018505B">
        <w:tc>
          <w:tcPr>
            <w:tcW w:w="2406" w:type="dxa"/>
            <w:vAlign w:val="center"/>
          </w:tcPr>
          <w:p w14:paraId="33C1799B" w14:textId="77777777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Импедансная</w:t>
            </w:r>
          </w:p>
        </w:tc>
        <w:tc>
          <w:tcPr>
            <w:tcW w:w="2407" w:type="dxa"/>
            <w:vAlign w:val="center"/>
          </w:tcPr>
          <w:p w14:paraId="20630720" w14:textId="77777777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60" w:dyaOrig="440" w14:anchorId="65B0F920">
                <v:shape id="_x0000_i1046" type="#_x0000_t75" style="width:123pt;height:21.75pt" o:ole="">
                  <v:imagedata r:id="rId57" o:title=""/>
                </v:shape>
                <o:OLEObject Type="Embed" ProgID="Equation.DSMT4" ShapeID="_x0000_i1046" DrawAspect="Content" ObjectID="_1847949830" r:id="rId58"/>
              </w:object>
            </w:r>
          </w:p>
        </w:tc>
        <w:tc>
          <w:tcPr>
            <w:tcW w:w="2407" w:type="dxa"/>
            <w:vAlign w:val="center"/>
          </w:tcPr>
          <w:p w14:paraId="12152BF9" w14:textId="77777777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Отражает межфазную и диффузионную деградацию</w:t>
            </w:r>
          </w:p>
        </w:tc>
        <w:tc>
          <w:tcPr>
            <w:tcW w:w="2407" w:type="dxa"/>
            <w:vAlign w:val="center"/>
          </w:tcPr>
          <w:p w14:paraId="51449EA9" w14:textId="77777777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Требует параметрической идентификации спектра</w:t>
            </w:r>
          </w:p>
        </w:tc>
      </w:tr>
      <w:tr w:rsidR="00B509A7" w:rsidRPr="00760BEF" w14:paraId="00BBC2AD" w14:textId="77777777" w:rsidTr="0018505B">
        <w:tc>
          <w:tcPr>
            <w:tcW w:w="2406" w:type="dxa"/>
            <w:vAlign w:val="center"/>
          </w:tcPr>
          <w:p w14:paraId="7EA659C1" w14:textId="77777777" w:rsidR="00B509A7" w:rsidRPr="0018505B" w:rsidRDefault="00EC330C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Комбинированная</w:t>
            </w:r>
          </w:p>
        </w:tc>
        <w:tc>
          <w:tcPr>
            <w:tcW w:w="2407" w:type="dxa"/>
            <w:vAlign w:val="center"/>
          </w:tcPr>
          <w:p w14:paraId="4ECE46B6" w14:textId="77777777" w:rsidR="00B509A7" w:rsidRPr="00760BEF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20" w:dyaOrig="440" w14:anchorId="5A5FABEE">
                <v:shape id="_x0000_i1047" type="#_x0000_t75" style="width:120.75pt;height:21.75pt" o:ole="">
                  <v:imagedata r:id="rId59" o:title=""/>
                </v:shape>
                <o:OLEObject Type="Embed" ProgID="Equation.DSMT4" ShapeID="_x0000_i1047" DrawAspect="Content" ObjectID="_1847949831" r:id="rId60"/>
              </w:object>
            </w:r>
          </w:p>
        </w:tc>
        <w:tc>
          <w:tcPr>
            <w:tcW w:w="2407" w:type="dxa"/>
            <w:vAlign w:val="center"/>
          </w:tcPr>
          <w:p w14:paraId="5A7B88DC" w14:textId="77777777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  <w:vAlign w:val="center"/>
          </w:tcPr>
          <w:p w14:paraId="503E4A78" w14:textId="77777777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Более сложна для реализации, но наиболее содержательна</w:t>
            </w:r>
          </w:p>
        </w:tc>
      </w:tr>
    </w:tbl>
    <w:p w14:paraId="3E281B99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791A1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Из таблицы 1.3 следует, что для задач ранней диагностики целесообразно не заменять ёмкостный SOH одним сопротивлением, а использовать несколько взаимодополняющих признаков. В диссертационной постановке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диффузионная составляющая и RΩ рассматриваются как физически интерпретируемые предикторы, связь которых с SOH подлежит экспериментальной идентификации.</w:t>
      </w:r>
    </w:p>
    <w:p w14:paraId="545A92A5" w14:textId="77777777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lastRenderedPageBreak/>
        <w:t>Обобщённая связь между SOH и сопротивлением переноса заряда, используемая для пояснения принципа импедансной диагностики, представлена на рисунке 1.9. Она отражает концептуальную монотонную зависимость, обсуждаемую в работах по импедансному прогнозированию [12, 13], и не является собственной калибровочной серией.</w:t>
      </w:r>
    </w:p>
    <w:p w14:paraId="31B8B6E2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4CC802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рисунка 1.9: зависимость SOH–</w:t>
      </w:r>
      <w:proofErr w:type="spellStart"/>
      <w:r>
        <w:rPr>
          <w:rFonts w:ascii="Times New Roman" w:hAnsi="Times New Roman"/>
          <w:color w:val="FF0000"/>
          <w:sz w:val="28"/>
        </w:rPr>
        <w:t>Rct</w:t>
      </w:r>
      <w:proofErr w:type="spellEnd"/>
      <w:r>
        <w:rPr>
          <w:rFonts w:ascii="Times New Roman" w:hAnsi="Times New Roman"/>
          <w:color w:val="FF0000"/>
          <w:sz w:val="28"/>
        </w:rPr>
        <w:t xml:space="preserve"> приведена в обобщённом концептуальном виде на основе логики импедансного прогнозирования и ресурсной диагностики [12, 13]. Рисунок не является собственной калибровочной экспериментальной серией.</w:t>
      </w:r>
    </w:p>
    <w:p w14:paraId="1AA1A848" w14:textId="77777777" w:rsidR="00414374" w:rsidRDefault="00F109F1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1846F" w14:textId="77777777" w:rsidR="00F109F1" w:rsidRPr="00764CBB" w:rsidRDefault="00F109F1" w:rsidP="008353D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1.9 — Связь состояния здоровья батареи и сопротивления переноса заряда</w:t>
      </w:r>
    </w:p>
    <w:p w14:paraId="09026B99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обобщённая методическая зависимость по подходам [12, 13]; не является собственной калибровочной серией.</w:t>
      </w:r>
    </w:p>
    <w:p w14:paraId="3CE674D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C6484" w14:textId="77777777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На рисунке 1.9 представлены зависимости SOH(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) для исследуемых NMC, LFP, LTO и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батарей. Во всех четырёх сериях увеличение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сопровождается снижением SOH, но наклон и кривизна различаются. Это подтверждает необходимость химически специфичной калибровки, а не применения единого порога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[12].</w:t>
      </w:r>
    </w:p>
    <w:p w14:paraId="0C49200E" w14:textId="77777777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Более крутая связь в отдельных сериях означает повышенную чувствительность выбранного импедансного параметра к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координате, но сама по себе не устанавливает единственный механизм старения. Причинная интерпретация должна опираться на частотную декомпозицию спектра и контроль температуры, SOC и режима.</w:t>
      </w:r>
    </w:p>
    <w:p w14:paraId="6C5F758D" w14:textId="77777777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Научное значение рисунка 1.9 состоит в обосновании перехода от скалярного ёмкостного критерия к вектору признаков SOH=f(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Rct,Zdiff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>,R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Ω,T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>,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SOC,chem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>). В последующих главах эта связь должна быть оценена количественно с доверительными интервалами и проверена на независимой части экспериментальных данных.</w:t>
      </w:r>
    </w:p>
    <w:p w14:paraId="252D9278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58BCF7" w14:textId="77777777" w:rsidR="00F54D08" w:rsidRPr="00971D25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2F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1.3.3 Состояние мощности батареи</w:t>
      </w:r>
      <w:r w:rsidR="00FB112F" w:rsidRPr="00971D2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B112F" w:rsidRPr="00FB112F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SOF</w:t>
      </w:r>
    </w:p>
    <w:p w14:paraId="4756327C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DBA852" w14:textId="77777777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Показатель SOF характеризует способность батареи обеспечить требуемое функциональное действие в текущем режиме; для тягового применения ключевым является допустимый мощностной диапазон. В простейшем эквиваленте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Тевенина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предельная мощность на согласованной резистивной нагрузке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296CC309" w14:textId="77777777" w:rsidTr="00FF4424">
        <w:tc>
          <w:tcPr>
            <w:tcW w:w="3209" w:type="dxa"/>
            <w:vAlign w:val="center"/>
          </w:tcPr>
          <w:p w14:paraId="15D53380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F256395" w14:textId="77777777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048" type="#_x0000_t75" style="width:58.5pt;height:36pt" o:ole="">
                  <v:imagedata r:id="rId62" o:title=""/>
                </v:shape>
                <o:OLEObject Type="Embed" ProgID="Equation.DSMT4" ShapeID="_x0000_i1048" DrawAspect="Content" ObjectID="_1847949832" r:id="rId63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486A19CE" w14:textId="77777777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(1.21)</w:t>
            </w:r>
          </w:p>
        </w:tc>
      </w:tr>
    </w:tbl>
    <w:p w14:paraId="4C8309E2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U — эквивалентное напряжение идеального источника (в модели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Тевенина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напряжение холостого хода в рассматриваемой рабочей точке);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Rint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внутреннее сопротивление батареи. Формула (1.21) следует из классической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теоремы о максимальной передаче мощности и используется только как аналитическая верхняя оценка; она не является реальным пределом мощности батареи в BMS.</w:t>
      </w:r>
    </w:p>
    <w:p w14:paraId="5A1F063B" w14:textId="77777777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Реальные ограничения SOF строже: учитываются допустимые напряжения ячеек, токовые пределы, тепловое состояние, SOC, динамическая поляризация и ограничения массопереноса. Поэтому мощностный предел должен определяться по совокупности электрических и эксплуатационных ограничений.</w:t>
      </w:r>
    </w:p>
    <w:p w14:paraId="733EEB2F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Поэтому в более содержательной инженерной постановке SOF следует рассматривать как функцию текущего энергетического состояния, деградации, температуры и внутренних электрических ограничений: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2A69EE69" w14:textId="77777777" w:rsidTr="00D95FEE">
        <w:tc>
          <w:tcPr>
            <w:tcW w:w="2346" w:type="dxa"/>
          </w:tcPr>
          <w:p w14:paraId="4FD15D8A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2DFE4D87" w14:textId="77777777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049" type="#_x0000_t75" style="width:190.5pt;height:21.75pt" o:ole="">
                  <v:imagedata r:id="rId64" o:title=""/>
                </v:shape>
                <o:OLEObject Type="Embed" ProgID="Equation.DSMT4" ShapeID="_x0000_i1049" DrawAspect="Content" ObjectID="_1847949833" r:id="rId65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0FF0F815" w14:textId="77777777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(1.22)</w:t>
            </w:r>
          </w:p>
        </w:tc>
      </w:tr>
    </w:tbl>
    <w:p w14:paraId="3CEBEF23" w14:textId="77777777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где H(·) — идентифицируемая функция функционального состояния; SOC — состояние заряда; SOH — состояние здоровья; T — температура; </w:t>
      </w:r>
      <w:proofErr w:type="spellStart"/>
      <w:r>
        <w:rPr>
          <w:rFonts w:ascii="Times New Roman" w:hAnsi="Times New Roman"/>
          <w:color w:val="0000FF"/>
          <w:sz w:val="28"/>
        </w:rPr>
        <w:t>Rct</w:t>
      </w:r>
      <w:proofErr w:type="spellEnd"/>
      <w:r>
        <w:rPr>
          <w:rFonts w:ascii="Times New Roman" w:hAnsi="Times New Roman"/>
          <w:color w:val="0000FF"/>
          <w:sz w:val="28"/>
        </w:rPr>
        <w:t xml:space="preserve"> — сопротивление переноса заряда; </w:t>
      </w:r>
      <w:proofErr w:type="spellStart"/>
      <w:r>
        <w:rPr>
          <w:rFonts w:ascii="Times New Roman" w:hAnsi="Times New Roman"/>
          <w:color w:val="0000FF"/>
          <w:sz w:val="28"/>
        </w:rPr>
        <w:t>Zdiff</w:t>
      </w:r>
      <w:proofErr w:type="spellEnd"/>
      <w:r>
        <w:rPr>
          <w:rFonts w:ascii="Times New Roman" w:hAnsi="Times New Roman"/>
          <w:color w:val="0000FF"/>
          <w:sz w:val="28"/>
        </w:rPr>
        <w:t xml:space="preserve"> — диффузионный признак импеданса; </w:t>
      </w:r>
      <w:proofErr w:type="spellStart"/>
      <w:r>
        <w:rPr>
          <w:rFonts w:ascii="Times New Roman" w:hAnsi="Times New Roman"/>
          <w:color w:val="0000FF"/>
          <w:sz w:val="28"/>
        </w:rPr>
        <w:t>Ulim</w:t>
      </w:r>
      <w:proofErr w:type="spellEnd"/>
      <w:r>
        <w:rPr>
          <w:rFonts w:ascii="Times New Roman" w:hAnsi="Times New Roman"/>
          <w:color w:val="0000FF"/>
          <w:sz w:val="28"/>
        </w:rPr>
        <w:t>={</w:t>
      </w:r>
      <w:proofErr w:type="spellStart"/>
      <w:r>
        <w:rPr>
          <w:rFonts w:ascii="Times New Roman" w:hAnsi="Times New Roman"/>
          <w:color w:val="0000FF"/>
          <w:sz w:val="28"/>
        </w:rPr>
        <w:t>Umin,Umax</w:t>
      </w:r>
      <w:proofErr w:type="spellEnd"/>
      <w:r>
        <w:rPr>
          <w:rFonts w:ascii="Times New Roman" w:hAnsi="Times New Roman"/>
          <w:color w:val="0000FF"/>
          <w:sz w:val="28"/>
        </w:rPr>
        <w:t xml:space="preserve">} — набор нижней и верхней допустимых границ напряжения ячейки или модуля, задаваемых условиями безопасной эксплуатации; </w:t>
      </w:r>
      <w:proofErr w:type="spellStart"/>
      <w:r>
        <w:rPr>
          <w:rFonts w:ascii="Times New Roman" w:hAnsi="Times New Roman"/>
          <w:color w:val="0000FF"/>
          <w:sz w:val="28"/>
        </w:rPr>
        <w:t>Rint</w:t>
      </w:r>
      <w:proofErr w:type="spellEnd"/>
      <w:r>
        <w:rPr>
          <w:rFonts w:ascii="Times New Roman" w:hAnsi="Times New Roman"/>
          <w:color w:val="0000FF"/>
          <w:sz w:val="28"/>
        </w:rPr>
        <w:t xml:space="preserve"> — эффективное внутреннее сопротивление, если оно входит в конкретную реализацию функции H. Формула (1.22) является авторской структурной записью SOF и не задаёт конкретный алгоритм H; его вид и параметры должны определяться из физических ограничений и экспериментальной калибровки.</w:t>
      </w:r>
    </w:p>
    <w:p w14:paraId="4241E602" w14:textId="77777777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Таким образом, SOF является интегральным функциональным показателем: при одинаковом SOC две батареи с различным импедансом могут иметь существенно различную доступную мощность и различную способность принимать энергию рекуперации.</w:t>
      </w:r>
    </w:p>
    <w:p w14:paraId="7521C1D3" w14:textId="77777777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тягового электротранспорта это различие принципиально: батарея может сохранять приемлемую ёмкость и формально высокий ёмкостный SOH, но уже не обеспечивать требуемый SOF вследствие роста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поляризации или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тепловых ограничений. Поэтому конец полезной эксплуатации не должен задаваться исключительно порогом ёмкости.</w:t>
      </w:r>
    </w:p>
    <w:p w14:paraId="2B15B975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89671" w14:textId="77777777" w:rsidR="00FC19D7" w:rsidRPr="00971D25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78BC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1.3.4 Остаточный ресурс батареи</w:t>
      </w:r>
      <w:r w:rsidR="001D78BC" w:rsidRPr="001D78B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1D78BC" w:rsidRPr="001D78BC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lang w:val="en-US"/>
        </w:rPr>
        <w:t>RUL</w:t>
      </w:r>
    </w:p>
    <w:p w14:paraId="5C305E31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9A626E" w14:textId="77777777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Остаточный ресурс RUL определяется как прогнозируемое время, пробег, число циклов либо иной эксплуатационный интервал от текущего состояния до заранее заданного предельного состояния. Для циклической координаты это определение записано в (1.23): RUL=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Ncrit−Ncur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Ncrit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прогнозируемый цикл достижения критерия предельного состояния,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Ncur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текущий цикл. Формула (1.23) является определением RUL в выбранной циклической координате.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3E91FCB9" w14:textId="77777777" w:rsidTr="00467154">
        <w:tc>
          <w:tcPr>
            <w:tcW w:w="3209" w:type="dxa"/>
            <w:vAlign w:val="center"/>
          </w:tcPr>
          <w:p w14:paraId="2BBEEDA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6AF00E5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050" type="#_x0000_t75" style="width:88.5pt;height:18pt" o:ole="">
                  <v:imagedata r:id="rId66" o:title=""/>
                </v:shape>
                <o:OLEObject Type="Embed" ProgID="Equation.DSMT4" ShapeID="_x0000_i1050" DrawAspect="Content" ObjectID="_1847949834" r:id="rId67"/>
              </w:object>
            </w:r>
          </w:p>
        </w:tc>
        <w:tc>
          <w:tcPr>
            <w:tcW w:w="3209" w:type="dxa"/>
            <w:vAlign w:val="center"/>
          </w:tcPr>
          <w:p w14:paraId="12C22F01" w14:textId="77777777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(1.23)</w:t>
            </w:r>
          </w:p>
        </w:tc>
      </w:tr>
    </w:tbl>
    <w:p w14:paraId="01992A5D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Ключевая сложность состоит в том, что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Ncrit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неизвестен заранее и зависит от дальнейшего режима. Поэтому RUL является модельной оценкой, которая должна сопровождаться указанием критерия конца ресурса и неопределённости прогноза. При использовании SOH(N) предельное состояние задаётся формулой (1.24): SOH(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Ncrit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)=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SOHcrit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SOHcrit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заранее установленный критерий конца ресурса. Формула (1.24) является граничным условием, а не законом деградации.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7BEE304B" w14:textId="77777777" w:rsidTr="00467154">
        <w:tc>
          <w:tcPr>
            <w:tcW w:w="3209" w:type="dxa"/>
            <w:vAlign w:val="center"/>
          </w:tcPr>
          <w:p w14:paraId="6BFAED80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4763ECA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051" type="#_x0000_t75" style="width:103.5pt;height:18pt" o:ole="">
                  <v:imagedata r:id="rId68" o:title=""/>
                </v:shape>
                <o:OLEObject Type="Embed" ProgID="Equation.DSMT4" ShapeID="_x0000_i1051" DrawAspect="Content" ObjectID="_1847949835" r:id="rId69"/>
              </w:object>
            </w:r>
          </w:p>
        </w:tc>
        <w:tc>
          <w:tcPr>
            <w:tcW w:w="3209" w:type="dxa"/>
            <w:vAlign w:val="center"/>
          </w:tcPr>
          <w:p w14:paraId="175390FE" w14:textId="77777777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(1.24)</w:t>
            </w:r>
          </w:p>
        </w:tc>
      </w:tr>
    </w:tbl>
    <w:p w14:paraId="7BBFAD25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Уровень SOH≈80 % часто используется как сравнительный критерий конца первой жизни тяговых литий-ионных батарей, однако он не является универсальной физической границей. Для конкретного применения предельное состояние может определяться сочетанием ёмкости, мощности, импеданса, тепловых и безопасностных ограничений [12, 13].</w:t>
      </w:r>
    </w:p>
    <w:p w14:paraId="0362670C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Если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координатой выбран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то при локально линейной аппроксимации его роста остаточный ресурс записывается в форме (1.25), а при нелинейной скорости — в интегральной форме (1.26).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30B3D828" w14:textId="77777777" w:rsidTr="00467154">
        <w:tc>
          <w:tcPr>
            <w:tcW w:w="3209" w:type="dxa"/>
            <w:vAlign w:val="center"/>
          </w:tcPr>
          <w:p w14:paraId="7117DB8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4E7FC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052" type="#_x0000_t75" style="width:102.75pt;height:35.25pt" o:ole="">
                  <v:imagedata r:id="rId70" o:title=""/>
                </v:shape>
                <o:OLEObject Type="Embed" ProgID="Equation.DSMT4" ShapeID="_x0000_i1052" DrawAspect="Content" ObjectID="_1847949836" r:id="rId71"/>
              </w:object>
            </w:r>
          </w:p>
        </w:tc>
        <w:tc>
          <w:tcPr>
            <w:tcW w:w="3209" w:type="dxa"/>
            <w:vAlign w:val="center"/>
          </w:tcPr>
          <w:p w14:paraId="4D898B5A" w14:textId="77777777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(1.25)</w:t>
            </w:r>
          </w:p>
        </w:tc>
      </w:tr>
    </w:tbl>
    <w:p w14:paraId="7E7855E9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В (1.25) 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Rct,crit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— сопротивление при принятом предельном состоянии, 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Rct,cur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— текущее значение,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локальная скорость его роста. В (1.26) интегрирование выполняется от текущего до критического значения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 учётом зависимости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от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координаты и режима.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56C26690" w14:textId="77777777" w:rsidTr="00467154">
        <w:tc>
          <w:tcPr>
            <w:tcW w:w="3209" w:type="dxa"/>
            <w:vAlign w:val="center"/>
          </w:tcPr>
          <w:p w14:paraId="6984D49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7DD6660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053" type="#_x0000_t75" style="width:107.25pt;height:33.75pt" o:ole="">
                  <v:imagedata r:id="rId72" o:title=""/>
                </v:shape>
                <o:OLEObject Type="Embed" ProgID="Equation.DSMT4" ShapeID="_x0000_i1053" DrawAspect="Content" ObjectID="_1847949837" r:id="rId73"/>
              </w:object>
            </w:r>
          </w:p>
        </w:tc>
        <w:tc>
          <w:tcPr>
            <w:tcW w:w="3209" w:type="dxa"/>
            <w:vAlign w:val="center"/>
          </w:tcPr>
          <w:p w14:paraId="73AD3475" w14:textId="77777777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(1.26)</w:t>
            </w:r>
          </w:p>
        </w:tc>
      </w:tr>
    </w:tbl>
    <w:p w14:paraId="7AE5781A" w14:textId="7777777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Формулы (1.25)–(1.26) являются не независимыми фундаментальными законами, а авторской формализацией RUL через выбранную монотонную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деградационную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координату. Их корректность требует, во-первых, идентифицируемой связи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 состоянием, во-вторых, устойчивой оценки скорости деградации и, в-третьих, явного учёта режимной неопределённости [12].</w:t>
      </w:r>
    </w:p>
    <w:p w14:paraId="503D7CD3" w14:textId="77777777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Геометрический смысл перехода от текущего состояния к прогнозу остаточного ресурса показан на рисунке 1.10. Иллюстрация подчёркивает, что точечная диагностика сама по себе не определяет RUL без модели дальнейшей траектории.</w:t>
      </w:r>
    </w:p>
    <w:p w14:paraId="61EA7C66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1.10: схема </w:t>
      </w:r>
      <w:proofErr w:type="spellStart"/>
      <w:r>
        <w:rPr>
          <w:rFonts w:ascii="Times New Roman" w:hAnsi="Times New Roman"/>
          <w:color w:val="FF0000"/>
          <w:sz w:val="28"/>
        </w:rPr>
        <w:t>деградационной</w:t>
      </w:r>
      <w:proofErr w:type="spellEnd"/>
      <w:r>
        <w:rPr>
          <w:rFonts w:ascii="Times New Roman" w:hAnsi="Times New Roman"/>
          <w:color w:val="FF0000"/>
          <w:sz w:val="28"/>
        </w:rPr>
        <w:t xml:space="preserve"> траектории является методической реконструкцией способа определения RUL по текущему состоянию, скорости деградации и порогу предельного состояния на основе </w:t>
      </w:r>
      <w:r>
        <w:rPr>
          <w:rFonts w:ascii="Times New Roman" w:hAnsi="Times New Roman"/>
          <w:color w:val="FF0000"/>
          <w:sz w:val="28"/>
        </w:rPr>
        <w:lastRenderedPageBreak/>
        <w:t>подходов [12, 13]. Это не воспроизведение конкретного рисунка из одной публикации.</w:t>
      </w:r>
    </w:p>
    <w:p w14:paraId="7BB33569" w14:textId="77777777" w:rsidR="006F610E" w:rsidRDefault="00FC1FE6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6C2F1151">
            <wp:extent cx="5618162" cy="3070747"/>
            <wp:effectExtent l="0" t="0" r="1905" b="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324" cy="3079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14ED9D" w14:textId="77777777" w:rsidR="00FC1FE6" w:rsidRPr="00764CBB" w:rsidRDefault="00FC1FE6" w:rsidP="008353D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Рисунок 1.10 — Определение остаточного ресурса по </w:t>
      </w:r>
      <w:proofErr w:type="spellStart"/>
      <w:r>
        <w:rPr>
          <w:rFonts w:ascii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hAnsi="Times New Roman"/>
          <w:color w:val="0000FF"/>
          <w:sz w:val="28"/>
        </w:rPr>
        <w:t xml:space="preserve"> траектории</w:t>
      </w:r>
    </w:p>
    <w:p w14:paraId="2EEC6C3D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 xml:space="preserve">Источник: методическая реконструкция определения RUL по </w:t>
      </w:r>
      <w:proofErr w:type="spellStart"/>
      <w:r>
        <w:rPr>
          <w:rFonts w:ascii="Times New Roman" w:hAnsi="Times New Roman"/>
          <w:color w:val="FF0000"/>
          <w:sz w:val="24"/>
        </w:rPr>
        <w:t>деградационной</w:t>
      </w:r>
      <w:proofErr w:type="spellEnd"/>
      <w:r>
        <w:rPr>
          <w:rFonts w:ascii="Times New Roman" w:hAnsi="Times New Roman"/>
          <w:color w:val="FF0000"/>
          <w:sz w:val="24"/>
        </w:rPr>
        <w:t xml:space="preserve"> траектории на основе [12, 13].</w:t>
      </w:r>
    </w:p>
    <w:p w14:paraId="3F012F96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8B55A6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На рисунке 1.10 текущая точка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траектории отделена от прогнозируемой точки достижения принятого порога. Горизонтальное расстояние по оси циклов соответствует RUL только для конкретно принятой модели и сценария дальнейшей эксплуатации.</w:t>
      </w:r>
    </w:p>
    <w:p w14:paraId="1B619813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Научный вывод из рисунка 1.10 состоит в разделении диагностического и прогностического уровней: первый восстанавливает текущее скрытое состояние, второй оценивает его будущую эволюцию и момент пересечения границы. Верификация RUL поэтому должна включать не только точность текущего SOH, но и калибровку прогностической неопределённости.</w:t>
      </w:r>
    </w:p>
    <w:p w14:paraId="0A13D16B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55B869" w14:textId="77777777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</w:rPr>
        <w:t>RUL</w:t>
      </w:r>
    </w:p>
    <w:p w14:paraId="34905303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CD5CC7" w14:textId="77777777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Показатели SOC, SOH, SOF и RUL не независимы. SOC задаёт текущую рабочую точку и влияет на напряжение и импеданс; SOH характеризует медленно изменяющуюся деградацию; SOF является режимной функцией SOC, SOH, температуры и ограничений; RUL зависит от текущего состояния и модели будущей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динамики.</w:t>
      </w:r>
    </w:p>
    <w:p w14:paraId="246D0B19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Для целей диссертации эта иерархия формализуется системой (1.27)–(1.30), где диагностические и прогностические показатели рассматриваются как функции измеряемых электрических величин, параметров импеданса и режима.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4"/>
        <w:gridCol w:w="5110"/>
        <w:gridCol w:w="2383"/>
      </w:tblGrid>
      <w:tr w:rsidR="001B49D1" w14:paraId="06084E41" w14:textId="77777777" w:rsidTr="00467154">
        <w:tc>
          <w:tcPr>
            <w:tcW w:w="3209" w:type="dxa"/>
            <w:vAlign w:val="center"/>
          </w:tcPr>
          <w:p w14:paraId="064F7888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1CFA098" w14:textId="77777777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054" type="#_x0000_t75" style="width:96pt;height:20.25pt" o:ole="">
                  <v:imagedata r:id="rId75" o:title=""/>
                </v:shape>
                <o:OLEObject Type="Embed" ProgID="Equation.DSMT4" ShapeID="_x0000_i1054" DrawAspect="Content" ObjectID="_1847949838" r:id="rId76"/>
              </w:object>
            </w:r>
            <w:r w:rsidRPr="00764CB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550C0FD" w14:textId="7777777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(1.27)</w:t>
            </w:r>
          </w:p>
        </w:tc>
      </w:tr>
      <w:tr w:rsidR="001B49D1" w14:paraId="55B170FC" w14:textId="77777777" w:rsidTr="00467154">
        <w:tc>
          <w:tcPr>
            <w:tcW w:w="3209" w:type="dxa"/>
            <w:vAlign w:val="center"/>
          </w:tcPr>
          <w:p w14:paraId="07AECAC4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7A568B0" w14:textId="77777777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055" type="#_x0000_t75" style="width:142.5pt;height:21.75pt" o:ole="">
                  <v:imagedata r:id="rId77" o:title=""/>
                </v:shape>
                <o:OLEObject Type="Embed" ProgID="Equation.DSMT4" ShapeID="_x0000_i1055" DrawAspect="Content" ObjectID="_1847949839" r:id="rId78"/>
              </w:object>
            </w:r>
            <w:r w:rsidRPr="00764CB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FAE1D92" w14:textId="77777777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(1.28)</w:t>
            </w:r>
          </w:p>
        </w:tc>
      </w:tr>
      <w:tr w:rsidR="001B49D1" w14:paraId="068304BB" w14:textId="77777777" w:rsidTr="00467154">
        <w:tc>
          <w:tcPr>
            <w:tcW w:w="3209" w:type="dxa"/>
            <w:vAlign w:val="center"/>
          </w:tcPr>
          <w:p w14:paraId="134852A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896D795" w14:textId="77777777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056" type="#_x0000_t75" style="width:144.75pt;height:20.25pt" o:ole="">
                  <v:imagedata r:id="rId79" o:title=""/>
                </v:shape>
                <o:OLEObject Type="Embed" ProgID="Equation.DSMT4" ShapeID="_x0000_i1056" DrawAspect="Content" ObjectID="_1847949840" r:id="rId80"/>
              </w:object>
            </w:r>
            <w:r w:rsidRPr="00764CB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DD95AF4" w14:textId="77777777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(1.29)</w:t>
            </w:r>
          </w:p>
        </w:tc>
      </w:tr>
      <w:tr w:rsidR="001B49D1" w14:paraId="51895C25" w14:textId="77777777" w:rsidTr="00467154">
        <w:tc>
          <w:tcPr>
            <w:tcW w:w="3209" w:type="dxa"/>
            <w:vAlign w:val="center"/>
          </w:tcPr>
          <w:p w14:paraId="6B593559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860991B" w14:textId="77777777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057" type="#_x0000_t75" style="width:209.25pt;height:33.75pt" o:ole="">
                  <v:imagedata r:id="rId81" o:title=""/>
                </v:shape>
                <o:OLEObject Type="Embed" ProgID="Equation.DSMT4" ShapeID="_x0000_i1057" DrawAspect="Content" ObjectID="_1847949841" r:id="rId82"/>
              </w:object>
            </w:r>
          </w:p>
        </w:tc>
        <w:tc>
          <w:tcPr>
            <w:tcW w:w="3209" w:type="dxa"/>
            <w:vAlign w:val="center"/>
          </w:tcPr>
          <w:p w14:paraId="0CDE91BB" w14:textId="77777777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(1.30)</w:t>
            </w:r>
          </w:p>
        </w:tc>
      </w:tr>
    </w:tbl>
    <w:p w14:paraId="1DA0CD89" w14:textId="77777777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В (1.27)–(1.30) F1–F4 — соответствующие идентифицируемые отображения; I — ток; t — время;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Cact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актуальная доступная ёмкость;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сопротивление переноса заряда;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Zdiff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диффузионный признак; RΩ — омическое сопротивление; T — температура;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Rint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эффективное внутреннее сопротивление; SOḢ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Ṙct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скорости изменения SOH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; «режим» — набор эксплуатационных воздействий. Формулы (1.27)–(1.30) являются авторской структурной иерархией взаимосвязей, а не готовыми универсальными алгоритмами; конкретный вид F1–F4 определяется в последующих главах. Сводное сопоставление показателей приведено в таблице 1.4.</w:t>
      </w:r>
    </w:p>
    <w:p w14:paraId="3CF9CF4B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lastRenderedPageBreak/>
        <w:t>Происхождение таблицы 1.4: сравнительная характеристика SOC, SOH, SOF и RUL сформирована как методическая систематизация определений, ограничений и диагностической роли показателей по [2, 12, 13].</w:t>
      </w:r>
    </w:p>
    <w:p w14:paraId="569257DF" w14:textId="77777777" w:rsidR="000347E1" w:rsidRDefault="00030F30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Таблица 1.4 — Сравнительная характеристика основных показателей состояния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:rsidRPr="005B6449" w14:paraId="6BA6CA28" w14:textId="77777777" w:rsidTr="00B7151A">
        <w:tc>
          <w:tcPr>
            <w:tcW w:w="2406" w:type="dxa"/>
            <w:vAlign w:val="center"/>
          </w:tcPr>
          <w:p w14:paraId="4741E7DE" w14:textId="77777777" w:rsidR="000A5140" w:rsidRPr="00B7151A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Показатель</w:t>
            </w:r>
          </w:p>
        </w:tc>
        <w:tc>
          <w:tcPr>
            <w:tcW w:w="2407" w:type="dxa"/>
            <w:vAlign w:val="center"/>
          </w:tcPr>
          <w:p w14:paraId="46691207" w14:textId="77777777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Основная физическая интерпретация</w:t>
            </w:r>
          </w:p>
        </w:tc>
        <w:tc>
          <w:tcPr>
            <w:tcW w:w="2407" w:type="dxa"/>
            <w:vAlign w:val="center"/>
          </w:tcPr>
          <w:p w14:paraId="47E58357" w14:textId="77777777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Базовая формула</w:t>
            </w:r>
          </w:p>
        </w:tc>
        <w:tc>
          <w:tcPr>
            <w:tcW w:w="2407" w:type="dxa"/>
            <w:vAlign w:val="center"/>
          </w:tcPr>
          <w:p w14:paraId="4AEC708E" w14:textId="77777777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Главный недостаток при изолированном использовании</w:t>
            </w:r>
          </w:p>
        </w:tc>
      </w:tr>
      <w:tr w:rsidR="000A5140" w:rsidRPr="005B6449" w14:paraId="10814316" w14:textId="77777777" w:rsidTr="00B7151A">
        <w:tc>
          <w:tcPr>
            <w:tcW w:w="2406" w:type="dxa"/>
            <w:vAlign w:val="center"/>
          </w:tcPr>
          <w:p w14:paraId="78A640D0" w14:textId="77777777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  <w:t>SOC</w:t>
            </w:r>
          </w:p>
        </w:tc>
        <w:tc>
          <w:tcPr>
            <w:tcW w:w="2407" w:type="dxa"/>
            <w:vAlign w:val="center"/>
          </w:tcPr>
          <w:p w14:paraId="1D115524" w14:textId="7777777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Текущий запас заряда</w:t>
            </w:r>
          </w:p>
        </w:tc>
        <w:tc>
          <w:tcPr>
            <w:tcW w:w="2407" w:type="dxa"/>
            <w:vAlign w:val="center"/>
          </w:tcPr>
          <w:p w14:paraId="3CFBF702" w14:textId="77777777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00" w:dyaOrig="360" w14:anchorId="5C69D783">
                <v:shape id="_x0000_i1058" type="#_x0000_t75" style="width:75pt;height:18pt" o:ole="">
                  <v:imagedata r:id="rId83" o:title=""/>
                </v:shape>
                <o:OLEObject Type="Embed" ProgID="Equation.DSMT4" ShapeID="_x0000_i1058" DrawAspect="Content" ObjectID="_1847949842" r:id="rId84"/>
              </w:object>
            </w:r>
          </w:p>
        </w:tc>
        <w:tc>
          <w:tcPr>
            <w:tcW w:w="2407" w:type="dxa"/>
            <w:vAlign w:val="center"/>
          </w:tcPr>
          <w:p w14:paraId="293FD2A8" w14:textId="7777777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 отражает внутреннюю деградацию</w:t>
            </w:r>
          </w:p>
        </w:tc>
      </w:tr>
      <w:tr w:rsidR="000A5140" w:rsidRPr="005B6449" w14:paraId="298980BF" w14:textId="77777777" w:rsidTr="00B7151A">
        <w:tc>
          <w:tcPr>
            <w:tcW w:w="2406" w:type="dxa"/>
            <w:vAlign w:val="center"/>
          </w:tcPr>
          <w:p w14:paraId="49F7647B" w14:textId="77777777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  <w:t>SOH</w:t>
            </w:r>
          </w:p>
        </w:tc>
        <w:tc>
          <w:tcPr>
            <w:tcW w:w="2407" w:type="dxa"/>
            <w:vAlign w:val="center"/>
          </w:tcPr>
          <w:p w14:paraId="32D69315" w14:textId="7777777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Степень старения батареи</w:t>
            </w:r>
          </w:p>
        </w:tc>
        <w:tc>
          <w:tcPr>
            <w:tcW w:w="2407" w:type="dxa"/>
            <w:vAlign w:val="center"/>
          </w:tcPr>
          <w:p w14:paraId="6CD562A5" w14:textId="77777777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40" w:dyaOrig="360" w14:anchorId="3040466C">
                <v:shape id="_x0000_i1059" type="#_x0000_t75" style="width:77.25pt;height:18pt" o:ole="">
                  <v:imagedata r:id="rId85" o:title=""/>
                </v:shape>
                <o:OLEObject Type="Embed" ProgID="Equation.DSMT4" ShapeID="_x0000_i1059" DrawAspect="Content" ObjectID="_1847949843" r:id="rId86"/>
              </w:object>
            </w: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или </w:t>
            </w: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  <w:lang w:val="en-US"/>
              </w:rPr>
              <w:object w:dxaOrig="1480" w:dyaOrig="400" w14:anchorId="2D2BC0DB">
                <v:shape id="_x0000_i1060" type="#_x0000_t75" style="width:75pt;height:20.25pt" o:ole="">
                  <v:imagedata r:id="rId87" o:title=""/>
                </v:shape>
                <o:OLEObject Type="Embed" ProgID="Equation.DSMT4" ShapeID="_x0000_i1060" DrawAspect="Content" ObjectID="_1847949844" r:id="rId88"/>
              </w:object>
            </w:r>
          </w:p>
        </w:tc>
        <w:tc>
          <w:tcPr>
            <w:tcW w:w="2407" w:type="dxa"/>
            <w:vAlign w:val="center"/>
          </w:tcPr>
          <w:p w14:paraId="513641DC" w14:textId="7777777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При ёмкостной трактовке запаздывает относительно ранней деградации</w:t>
            </w:r>
          </w:p>
        </w:tc>
      </w:tr>
      <w:tr w:rsidR="000A5140" w:rsidRPr="005B6449" w14:paraId="6A576D13" w14:textId="77777777" w:rsidTr="00B7151A">
        <w:tc>
          <w:tcPr>
            <w:tcW w:w="2406" w:type="dxa"/>
            <w:vAlign w:val="center"/>
          </w:tcPr>
          <w:p w14:paraId="1B1CE17A" w14:textId="77777777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  <w:t>SOF</w:t>
            </w:r>
          </w:p>
        </w:tc>
        <w:tc>
          <w:tcPr>
            <w:tcW w:w="2407" w:type="dxa"/>
            <w:vAlign w:val="center"/>
          </w:tcPr>
          <w:p w14:paraId="3E02C0BD" w14:textId="7777777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Доступная мощность</w:t>
            </w:r>
          </w:p>
        </w:tc>
        <w:tc>
          <w:tcPr>
            <w:tcW w:w="2407" w:type="dxa"/>
            <w:vAlign w:val="center"/>
          </w:tcPr>
          <w:p w14:paraId="0AA8EE14" w14:textId="77777777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000" w:dyaOrig="400" w14:anchorId="77DAF3F7">
                <v:shape id="_x0000_i1061" type="#_x0000_t75" style="width:100.5pt;height:20.25pt" o:ole="">
                  <v:imagedata r:id="rId89" o:title=""/>
                </v:shape>
                <o:OLEObject Type="Embed" ProgID="Equation.DSMT4" ShapeID="_x0000_i1061" DrawAspect="Content" ObjectID="_1847949845" r:id="rId90"/>
              </w:object>
            </w:r>
          </w:p>
        </w:tc>
        <w:tc>
          <w:tcPr>
            <w:tcW w:w="2407" w:type="dxa"/>
            <w:vAlign w:val="center"/>
          </w:tcPr>
          <w:p w14:paraId="0DC21976" w14:textId="7777777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Требует знания не только заряда, но и импедансного состояния</w:t>
            </w:r>
          </w:p>
        </w:tc>
      </w:tr>
      <w:tr w:rsidR="000A5140" w:rsidRPr="005B6449" w14:paraId="43104371" w14:textId="77777777" w:rsidTr="00B7151A">
        <w:tc>
          <w:tcPr>
            <w:tcW w:w="2406" w:type="dxa"/>
            <w:vAlign w:val="center"/>
          </w:tcPr>
          <w:p w14:paraId="37006E5C" w14:textId="77777777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  <w:t>RUL</w:t>
            </w:r>
          </w:p>
        </w:tc>
        <w:tc>
          <w:tcPr>
            <w:tcW w:w="2407" w:type="dxa"/>
            <w:vAlign w:val="center"/>
          </w:tcPr>
          <w:p w14:paraId="26968DF3" w14:textId="7777777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Остаточный срок службы</w:t>
            </w:r>
          </w:p>
        </w:tc>
        <w:tc>
          <w:tcPr>
            <w:tcW w:w="2407" w:type="dxa"/>
            <w:vAlign w:val="center"/>
          </w:tcPr>
          <w:p w14:paraId="78D06489" w14:textId="77777777" w:rsidR="000A5140" w:rsidRPr="005B6449" w:rsidRDefault="00855B00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780" w:dyaOrig="360" w14:anchorId="6B6620D0">
                <v:shape id="_x0000_i1062" type="#_x0000_t75" style="width:88.5pt;height:18pt" o:ole="">
                  <v:imagedata r:id="rId91" o:title=""/>
                </v:shape>
                <o:OLEObject Type="Embed" ProgID="Equation.DSMT4" ShapeID="_x0000_i1062" DrawAspect="Content" ObjectID="_1847949846" r:id="rId92"/>
              </w:object>
            </w:r>
          </w:p>
        </w:tc>
        <w:tc>
          <w:tcPr>
            <w:tcW w:w="2407" w:type="dxa"/>
            <w:vAlign w:val="center"/>
          </w:tcPr>
          <w:p w14:paraId="6DADE3FD" w14:textId="7777777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Невозможен без модели </w:t>
            </w:r>
            <w:proofErr w:type="spellStart"/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деградационной</w:t>
            </w:r>
            <w:proofErr w:type="spellEnd"/>
            <w:r w:rsidRPr="005B64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траектории</w:t>
            </w:r>
          </w:p>
        </w:tc>
      </w:tr>
    </w:tbl>
    <w:p w14:paraId="61F81A7E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1D48D1" w14:textId="77777777" w:rsidR="00855B00" w:rsidRPr="00D05F77" w:rsidRDefault="00294F98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Таблица 1.4 показывает, что ни один показатель не заменяет остальные: SOC отвечает на вопрос о текущем запасе заряда, SOH — о накопленной деградации, SOF — о доступной функции, RUL — о прогнозируемом интервале до принятого предела. Для задач диссертации центральным является переход от </w:t>
      </w:r>
      <w:r>
        <w:rPr>
          <w:rFonts w:ascii="Times New Roman" w:hAnsi="Times New Roman"/>
          <w:color w:val="0000FF"/>
          <w:sz w:val="28"/>
        </w:rPr>
        <w:lastRenderedPageBreak/>
        <w:t>измеряемых импедансных признаков к SOH/SOF и далее к RUL с контролем режима и химии.</w:t>
      </w:r>
    </w:p>
    <w:p w14:paraId="2C7F22C3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Ограничения показателей различаются по физической природе. Для SOC основным источником неопределённости является накопление ошибки интегрирования тока и зависимость от корректной инициализации; для SOH — протокольная зависимость от температуры, тока и выбранного критерия (ёмкостного, </w:t>
      </w:r>
      <w:proofErr w:type="spellStart"/>
      <w:r>
        <w:rPr>
          <w:rFonts w:ascii="Times New Roman" w:hAnsi="Times New Roman"/>
          <w:color w:val="0000FF"/>
          <w:sz w:val="28"/>
        </w:rPr>
        <w:t>сопротивленческого</w:t>
      </w:r>
      <w:proofErr w:type="spellEnd"/>
      <w:r>
        <w:rPr>
          <w:rFonts w:ascii="Times New Roman" w:hAnsi="Times New Roman"/>
          <w:color w:val="0000FF"/>
          <w:sz w:val="28"/>
        </w:rPr>
        <w:t xml:space="preserve"> либо комбинированного); для SOF — необходимость учитывать мгновенные ограничения по напряжению, току, температуре и поляризации; для RUL — неизбежная зависимость от модели будущей деградации, сценария нагрузки и выбранного критерия предельного состояния. Поэтому переход SOC → SOH → SOF → RUL не является простой последовательностью арифметических пересчётов: каждый уровень требует собственной идентификации и оценки неопределённости.</w:t>
      </w:r>
    </w:p>
    <w:p w14:paraId="24656C75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FE8145" w14:textId="77777777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4F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7BB219D1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955A63" w14:textId="77777777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Электрохимическая импедансная спектроскопия (ЭИС) — метод частотного анализа локального отклика электрохимической системы на малое гармоническое возмущение. В области, где система может быть приближённо линеаризована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квазистационарна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на интервале измерения, комплексный импеданс позволяет разделять омический, межфазный, ёмкостный и диффузионный вклады [14]. Именно физическая интерпретируемость частотных компонент определяет интерес ЭИС для ранней диагностики деградации батарей.</w:t>
      </w:r>
    </w:p>
    <w:p w14:paraId="4EB984B8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Для согласования с используемой далее записью зададим гармоническое возмущение напряжения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00DB6409" w14:textId="77777777" w:rsidTr="00467154">
        <w:tc>
          <w:tcPr>
            <w:tcW w:w="3209" w:type="dxa"/>
            <w:vAlign w:val="center"/>
          </w:tcPr>
          <w:p w14:paraId="3E257151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D790E89" w14:textId="7777777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063" type="#_x0000_t75" style="width:86.25pt;height:18.75pt" o:ole="">
                  <v:imagedata r:id="rId93" o:title=""/>
                </v:shape>
                <o:OLEObject Type="Embed" ProgID="Equation.DSMT4" ShapeID="_x0000_i1063" DrawAspect="Content" ObjectID="_1847949847" r:id="rId94"/>
              </w:object>
            </w:r>
            <w:r w:rsidRPr="009472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82F7D00" w14:textId="77777777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(1.31)</w:t>
            </w:r>
          </w:p>
        </w:tc>
      </w:tr>
    </w:tbl>
    <w:p w14:paraId="7B996A7C" w14:textId="77777777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и соответствующий токовый отклик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51E234C3" w14:textId="77777777" w:rsidTr="00467154">
        <w:tc>
          <w:tcPr>
            <w:tcW w:w="3209" w:type="dxa"/>
            <w:vAlign w:val="center"/>
          </w:tcPr>
          <w:p w14:paraId="4797003F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6F1572B" w14:textId="7777777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064" type="#_x0000_t75" style="width:97.5pt;height:18.75pt" o:ole="">
                  <v:imagedata r:id="rId95" o:title=""/>
                </v:shape>
                <o:OLEObject Type="Embed" ProgID="Equation.DSMT4" ShapeID="_x0000_i1064" DrawAspect="Content" ObjectID="_1847949848" r:id="rId96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3A9BDC5" w14:textId="77777777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(1.32)</w:t>
            </w:r>
          </w:p>
        </w:tc>
      </w:tr>
    </w:tbl>
    <w:p w14:paraId="6E0F02F7" w14:textId="7777777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U0 и I0 — амплитуды переменных составляющих напряжения и тока; ω=2πf — круговая частота; f — частота; t — время; φ — фазовый сдвиг между током и напряжением. Формулы (1.31)–(1.32) являются стандартной постановкой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малосигнального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ЭИС-измерения; при возбуждении током роли входа и отклика меняются, но определение импеданса сохраняется [14].</w:t>
      </w:r>
    </w:p>
    <w:p w14:paraId="50F1ADAC" w14:textId="7777777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Используя комплексные амплитуды гармонических сигналов, импеданс определяют как отношение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фазоров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напряжения и тока: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7EBD9926" w14:textId="77777777" w:rsidTr="00DB13AD">
        <w:tc>
          <w:tcPr>
            <w:tcW w:w="3209" w:type="dxa"/>
            <w:vAlign w:val="center"/>
          </w:tcPr>
          <w:p w14:paraId="62A087B5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3831DFE" w14:textId="77777777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065" type="#_x0000_t75" style="width:71.25pt;height:45.75pt" o:ole="">
                  <v:imagedata r:id="rId97" o:title=""/>
                </v:shape>
                <o:OLEObject Type="Embed" ProgID="Equation.DSMT4" ShapeID="_x0000_i1065" DrawAspect="Content" ObjectID="_1847949849" r:id="rId98"/>
              </w:object>
            </w:r>
            <w:r w:rsidRPr="00206F4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822810D" w14:textId="77777777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(1.33)</w:t>
            </w:r>
          </w:p>
        </w:tc>
      </w:tr>
    </w:tbl>
    <w:p w14:paraId="4AA9474E" w14:textId="77777777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где U̲(ω) и I̲(ω) — комплексные амплитуды, а Z(ω) — комплексная передаточная характеристика «напряжение/ток». Формула (1.33) является частотным аналогом закона Ома для линейного </w:t>
      </w:r>
      <w:proofErr w:type="spellStart"/>
      <w:r>
        <w:rPr>
          <w:rFonts w:ascii="Times New Roman" w:hAnsi="Times New Roman"/>
          <w:color w:val="0000FF"/>
          <w:sz w:val="28"/>
        </w:rPr>
        <w:t>малосигнального</w:t>
      </w:r>
      <w:proofErr w:type="spellEnd"/>
      <w:r>
        <w:rPr>
          <w:rFonts w:ascii="Times New Roman" w:hAnsi="Times New Roman"/>
          <w:color w:val="0000FF"/>
          <w:sz w:val="28"/>
        </w:rPr>
        <w:t xml:space="preserve"> отклика [14]. Для динамической электрохимической импедансной спектроскопии (</w:t>
      </w:r>
      <w:proofErr w:type="spellStart"/>
      <w:r>
        <w:rPr>
          <w:rFonts w:ascii="Times New Roman" w:hAnsi="Times New Roman"/>
          <w:color w:val="0000FF"/>
          <w:sz w:val="28"/>
        </w:rPr>
        <w:t>dynamic</w:t>
      </w:r>
      <w:proofErr w:type="spellEnd"/>
      <w:r>
        <w:rPr>
          <w:rFonts w:ascii="Times New Roman" w:hAnsi="Times New Roman"/>
          <w:color w:val="0000FF"/>
          <w:sz w:val="28"/>
        </w:rPr>
        <w:t xml:space="preserve"> EIS), выполняемой при изменяющейся рабочей точке, предпосылка стационарности ослабляется; поэтому требуется контролировать дрейф тока, SOC и температуры в течение измерения.</w:t>
      </w:r>
    </w:p>
    <w:p w14:paraId="5B2168F4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Комплексный импеданс представляется действительной и мнимой составляющими: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39CE0CDA" w14:textId="77777777" w:rsidTr="00467154">
        <w:tc>
          <w:tcPr>
            <w:tcW w:w="3209" w:type="dxa"/>
            <w:vAlign w:val="center"/>
          </w:tcPr>
          <w:p w14:paraId="2BC44EE1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512D958" w14:textId="77777777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066" type="#_x0000_t75" style="width:120pt;height:19.5pt" o:ole="">
                  <v:imagedata r:id="rId99" o:title=""/>
                </v:shape>
                <o:OLEObject Type="Embed" ProgID="Equation.DSMT4" ShapeID="_x0000_i1066" DrawAspect="Content" ObjectID="_1847949850" r:id="rId100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5F28C302" w14:textId="77777777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(1.34)</w:t>
            </w:r>
          </w:p>
        </w:tc>
      </w:tr>
    </w:tbl>
    <w:p w14:paraId="30CFDAF7" w14:textId="77777777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где Z′(ω) — действительная часть; Z″(ω) — мнимая часть; j=√−1 — мнимая единица. В принятом представлении Найквиста по вертикальной оси обычно откладывается −Z″. Формула (1.34) является алгебраическим разложением комплексного числа.</w:t>
      </w:r>
    </w:p>
    <w:p w14:paraId="3110126B" w14:textId="77777777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Действительная часть связана с диссипативным вкладом, а мнимая — с фазовыми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энергонакопительными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свойствами линейного отклика. На диаграмме Найквиста анализируют Z′ и −Z″, на диаграмме Боде — |Z| и фазовый угол как функции частоты. Обе формы взаимодополняемы и не должны интерпретироваться вне принятой модели и диапазона частот [14].</w:t>
      </w:r>
    </w:p>
    <w:p w14:paraId="509F60CC" w14:textId="77777777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Для параметризации батарей часто применяют схему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Рэндлса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её модификации, однако эквивалентная схема не является уникальной физической моделью. Она должна выбираться по идентифицируемости, качеству аппроксимации и физическому смыслу элементов. В базовой схеме настоящей работы используются RΩ,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Cdl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диффузионный элемент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Zw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[14].</w:t>
      </w:r>
    </w:p>
    <w:p w14:paraId="0D51485B" w14:textId="77777777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Топология базовой эквивалентной схемы приведена на рисунке 1.11: RΩ включено последовательно с параллельным соединением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Cdl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последовательной ветви (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Rct+Zw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). Такая запись соответствует изображённой схеме и используется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далее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как минимальная физически интерпретируемая структура для параметрической идентификации.</w:t>
      </w:r>
    </w:p>
    <w:p w14:paraId="02518129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D4BAEB" w14:textId="77777777" w:rsidR="00740A8D" w:rsidRDefault="00000000">
      <w:pPr>
        <w:keepNext/>
        <w:spacing w:line="360" w:lineRule="auto"/>
        <w:ind w:firstLine="709"/>
        <w:jc w:val="both"/>
        <w:rPr>
          <w:rFonts w:ascii="Times New Roman" w:hAnsi="Times New Roman"/>
          <w:color w:val="FF0000"/>
          <w:sz w:val="28"/>
        </w:rPr>
      </w:pPr>
      <w:r>
        <w:rPr>
          <w:rFonts w:ascii="Times New Roman" w:hAnsi="Times New Roman"/>
          <w:color w:val="FF0000"/>
          <w:sz w:val="28"/>
        </w:rPr>
        <w:t xml:space="preserve">Происхождение рисунка 1.11: эквивалентная схема представляет адаптированную </w:t>
      </w:r>
      <w:proofErr w:type="spellStart"/>
      <w:r>
        <w:rPr>
          <w:rFonts w:ascii="Times New Roman" w:hAnsi="Times New Roman"/>
          <w:color w:val="FF0000"/>
          <w:sz w:val="28"/>
        </w:rPr>
        <w:t>Randles</w:t>
      </w:r>
      <w:proofErr w:type="spellEnd"/>
      <w:r>
        <w:rPr>
          <w:rFonts w:ascii="Times New Roman" w:hAnsi="Times New Roman"/>
          <w:color w:val="FF0000"/>
          <w:sz w:val="28"/>
        </w:rPr>
        <w:t xml:space="preserve">-подобную топологию, соответствующую стандартным </w:t>
      </w:r>
      <w:r>
        <w:rPr>
          <w:rFonts w:ascii="Times New Roman" w:hAnsi="Times New Roman"/>
          <w:color w:val="FF0000"/>
          <w:sz w:val="28"/>
        </w:rPr>
        <w:lastRenderedPageBreak/>
        <w:t>принципам интерпретации ЭИС [14]. Компоновка приведена в обозначениях главы и не является прямым копированием изображения из одного источника.</w:t>
      </w:r>
    </w:p>
    <w:p w14:paraId="5AE8AD37" w14:textId="77777777" w:rsidR="005C6557" w:rsidRDefault="005C6557">
      <w:pPr>
        <w:keepNext/>
        <w:spacing w:line="360" w:lineRule="auto"/>
        <w:ind w:firstLine="709"/>
        <w:jc w:val="both"/>
      </w:pPr>
    </w:p>
    <w:p w14:paraId="7B13859D" w14:textId="7DB78746" w:rsidR="00A83912" w:rsidRPr="005C6557" w:rsidRDefault="00EF1A0B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color w:val="000000"/>
        </w:rPr>
        <w:t xml:space="preserve"> </w:t>
      </w:r>
      <w:r w:rsidR="005C6557">
        <w:rPr>
          <w:noProof/>
        </w:rPr>
        <w:drawing>
          <wp:inline distT="0" distB="0" distL="0" distR="0" wp14:anchorId="53B9A16B" wp14:editId="137267A8">
            <wp:extent cx="4213860" cy="1470660"/>
            <wp:effectExtent l="0" t="0" r="0" b="0"/>
            <wp:docPr id="2054153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86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CA5E" w14:textId="77777777" w:rsidR="00FA5E0A" w:rsidRPr="00206F49" w:rsidRDefault="00FA5E0A" w:rsidP="008353D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1.11 — Эквивалентная схема импедансной модели тяговой аккумуляторной батареи</w:t>
      </w:r>
    </w:p>
    <w:p w14:paraId="27D549E6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 xml:space="preserve">Источник: адаптированная эквивалентная схема типа </w:t>
      </w:r>
      <w:proofErr w:type="spellStart"/>
      <w:r>
        <w:rPr>
          <w:rFonts w:ascii="Times New Roman" w:hAnsi="Times New Roman"/>
          <w:color w:val="FF0000"/>
          <w:sz w:val="24"/>
        </w:rPr>
        <w:t>Randles</w:t>
      </w:r>
      <w:proofErr w:type="spellEnd"/>
      <w:r>
        <w:rPr>
          <w:rFonts w:ascii="Times New Roman" w:hAnsi="Times New Roman"/>
          <w:color w:val="FF0000"/>
          <w:sz w:val="24"/>
        </w:rPr>
        <w:t xml:space="preserve"> по принципам интерпретации ЭИС [14].</w:t>
      </w:r>
    </w:p>
    <w:p w14:paraId="3C80B68D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E80954" w14:textId="77777777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На рисунке 1.11 RΩ описывает суммарный высокочастотный омический вклад;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кинетику межфазного переноса заряда;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Cdl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эффективную ёмкость двойного слоя;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Zw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диффузионную составляющую. Эти параметры являются эквивалентными и зависят от рабочей точки, температуры и принятого частотного диапазона; их нельзя безусловно отождествлять с единственным микроскопическим процессом.</w:t>
      </w:r>
    </w:p>
    <w:p w14:paraId="50BAA7A4" w14:textId="77777777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Методическое значение рисунка 1.11 состоит в фиксации единой структуры параметров, через которую в дальнейшем сопоставляются химические системы и стадии деградации. Для BMS-перспективы критичны не только точность подгонки, но и идентифицируемость параметров при сокращённом частотном протоколе.</w:t>
      </w:r>
    </w:p>
    <w:p w14:paraId="23BE2D66" w14:textId="77777777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Для топологии, показанной на рисунке 1.11, общий импеданс определяется правилами последовательного и параллельного соединения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18"/>
        <w:gridCol w:w="3209"/>
      </w:tblGrid>
      <w:tr w:rsidR="00B139EF" w14:paraId="4BA00677" w14:textId="77777777" w:rsidTr="00B139EF">
        <w:tc>
          <w:tcPr>
            <w:tcW w:w="6418" w:type="dxa"/>
            <w:vAlign w:val="center"/>
          </w:tcPr>
          <w:p w14:paraId="51E06E55" w14:textId="77777777" w:rsidR="00740A8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3C2985" wp14:editId="4011A0B8">
                  <wp:extent cx="3520440" cy="389837"/>
                  <wp:effectExtent l="0" t="0" r="0" b="0"/>
                  <wp:docPr id="2112960506" name="Picture 21129605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389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9" w:type="dxa"/>
            <w:vAlign w:val="center"/>
          </w:tcPr>
          <w:p w14:paraId="29F58946" w14:textId="77777777" w:rsidR="00740A8D" w:rsidRDefault="00000000">
            <w:pPr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(1.35)</w:t>
            </w:r>
          </w:p>
        </w:tc>
      </w:tr>
    </w:tbl>
    <w:p w14:paraId="5524DA5F" w14:textId="77777777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В (1.35) RΩ — последовательный омический вклад;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сопротивление переноса заряда;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Cdl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эффективная ёмкость двойного слоя;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Zw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(ω) — частотно-зависимый диффузионный импеданс; j — мнимая единица; ω — круговая частота. Формула (1.35) получена непосредственно из правил последовательного и параллельного соединения ветвей схемы. Для полуограниченной линейной диффузии классический элемент Варбурга записывается в форме (1.36) [14].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500D61C" w14:textId="77777777" w:rsidTr="00181DDC">
        <w:tc>
          <w:tcPr>
            <w:tcW w:w="3209" w:type="dxa"/>
            <w:vAlign w:val="center"/>
          </w:tcPr>
          <w:p w14:paraId="01DA51DF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F8385F2" w14:textId="77777777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067" type="#_x0000_t75" style="width:71.25pt;height:35.25pt" o:ole="">
                  <v:imagedata r:id="rId103" o:title=""/>
                </v:shape>
                <o:OLEObject Type="Embed" ProgID="Equation.DSMT4" ShapeID="_x0000_i1067" DrawAspect="Content" ObjectID="_1847949851" r:id="rId104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3B655A7" w14:textId="77777777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(1.36)</w:t>
            </w:r>
          </w:p>
        </w:tc>
      </w:tr>
    </w:tbl>
    <w:p w14:paraId="6C22E655" w14:textId="77777777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где σ — коэффициент Варбурга; ω — круговая частота; j — мнимая единица. Коэффициент σ аккумулирует геометрические, термодинамические и диффузионные параметры конкретной системы, поэтому должен идентифицироваться в заданном режиме [14].</w:t>
      </w:r>
    </w:p>
    <w:p w14:paraId="11EB35E1" w14:textId="77777777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Импеданс Варбурга выводится из решения второго закона </w:t>
      </w:r>
      <w:proofErr w:type="spellStart"/>
      <w:r>
        <w:rPr>
          <w:rFonts w:ascii="Times New Roman" w:hAnsi="Times New Roman"/>
          <w:color w:val="0000FF"/>
          <w:sz w:val="28"/>
        </w:rPr>
        <w:t>Фика</w:t>
      </w:r>
      <w:proofErr w:type="spellEnd"/>
      <w:r>
        <w:rPr>
          <w:rFonts w:ascii="Times New Roman" w:hAnsi="Times New Roman"/>
          <w:color w:val="0000FF"/>
          <w:sz w:val="28"/>
        </w:rPr>
        <w:t xml:space="preserve"> для малой гармонической концентрационной модуляции у границы раздела электрод–электролит. Для идеальной полуограниченной линейной диффузии модуль </w:t>
      </w:r>
      <w:proofErr w:type="spellStart"/>
      <w:r>
        <w:rPr>
          <w:rFonts w:ascii="Times New Roman" w:hAnsi="Times New Roman"/>
          <w:color w:val="0000FF"/>
          <w:sz w:val="28"/>
        </w:rPr>
        <w:t>Zw</w:t>
      </w:r>
      <w:proofErr w:type="spellEnd"/>
      <w:r>
        <w:rPr>
          <w:rFonts w:ascii="Times New Roman" w:hAnsi="Times New Roman"/>
          <w:color w:val="0000FF"/>
          <w:sz w:val="28"/>
        </w:rPr>
        <w:t xml:space="preserve"> пропорционален ω⁻¹/², а действительная и мнимая составляющие равны по модулю; поэтому на диаграмме Найквиста возникает характерный участок, близкий к прямой под углом 45° к оси Re(Z). При конечной длине диффузии, отражающих или проницаемых граничных условиях и распределении времён релаксации форма низкочастотного участка изменяется, поэтому применение простого элемента Варбурга должно подтверждаться частотным диапазоном, остатками аппроксимации и устойчивостью идентифицированного коэффициента σ [14].</w:t>
      </w:r>
    </w:p>
    <w:p w14:paraId="077EBAE7" w14:textId="7777777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В высокочастотной области сильнее проявляется омический вклад; среднечастотная дуга связана преимущественно с межфазной кинетикой и ёмкостным откликом; низкочастотная область наиболее чувствительна к более медленным транспортным процессам. Такое разделение является модельно-зависимым и может перекрываться для реальных пористых электродов.</w:t>
      </w:r>
    </w:p>
    <w:p w14:paraId="23D4F24E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lastRenderedPageBreak/>
        <w:t xml:space="preserve">Типовое представление частотных областей показано на обзорной диаграмме Найквиста на рисунке 1.12. Она предназначена для пояснения интерпретации RΩ, </w:t>
      </w:r>
      <w:proofErr w:type="spellStart"/>
      <w:r>
        <w:rPr>
          <w:rFonts w:ascii="Times New Roman" w:hAnsi="Times New Roman"/>
          <w:color w:val="FF0000"/>
          <w:sz w:val="28"/>
        </w:rPr>
        <w:t>зарядопереносной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дуги и низкочастотного транспортного вклада; численные параметры не следует трактовать как собственный измеренный спектр.</w:t>
      </w:r>
    </w:p>
    <w:p w14:paraId="3B6071A1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F3F86A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1.12: диаграмма Найквиста является схематической графической реконструкцией типовой формы импедансного спектра и его частотных областей по теории ЭИС [14]. Это не собственный </w:t>
      </w:r>
      <w:r>
        <w:rPr>
          <w:rFonts w:ascii="Times New Roman" w:hAnsi="Times New Roman"/>
          <w:color w:val="FF0000"/>
          <w:sz w:val="28"/>
        </w:rPr>
        <w:lastRenderedPageBreak/>
        <w:t>измеренный спектр и не оцифрованное воспроизведение экспериментальной кривой конкретной публикации.</w:t>
      </w:r>
    </w:p>
    <w:p w14:paraId="138DECED" w14:textId="77777777" w:rsidR="00B33E3A" w:rsidRDefault="00D567B3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57FB2C8A">
            <wp:extent cx="6119495" cy="476421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 rotWithShape="1"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76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color w:val="000000"/>
        </w:rPr>
        <w:t xml:space="preserve"> </w:t>
      </w:r>
    </w:p>
    <w:p w14:paraId="46C701A9" w14:textId="77777777" w:rsidR="00156A70" w:rsidRDefault="00094526" w:rsidP="008353D2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Рисунок 1.12 — Типовая диаграмма Найквиста для тягового литий-ионного элемента: обзорная иллюстрация</w:t>
      </w:r>
    </w:p>
    <w:p w14:paraId="5B9787C2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схематическая реконструкция типовой диаграммы Найквиста по [14]; не является собственным экспериментальным спектром.</w:t>
      </w:r>
    </w:p>
    <w:p w14:paraId="5F4015BC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EBB98" w14:textId="77777777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На рисунке 1.12 высокочастотное пересечение с осью Re(Z) используется для оценки RΩ, характерная дуга — для параметризации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зарядопереносной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ветви, низкочастотный участок — для оценки транспортного вклада. В реальном спектре границы областей не являются строго раздельными, поэтому окончательные параметры должны определяться идентификацией всей принятой эквивалентной схемы.</w:t>
      </w:r>
    </w:p>
    <w:p w14:paraId="56BF7814" w14:textId="77777777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Научное значение рисунка 1.12 состоит в демонстрации наблюдаемости нескольких физических временных масштабов в одном электрическом измерении. Практическая ценность связана с возможностью преобразовать спектр в ограниченный набор диагностических параметров с последующей оценкой их неопределённости.</w:t>
      </w:r>
    </w:p>
    <w:p w14:paraId="0A6E8A82" w14:textId="77777777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Для выбора диагностических частот дополнительно используется диаграмма Боде, представленная на рисунке 1.13. Исследования встроенной ЭИС (</w:t>
      </w:r>
      <w:proofErr w:type="spellStart"/>
      <w:r>
        <w:rPr>
          <w:rFonts w:ascii="Times New Roman" w:hAnsi="Times New Roman"/>
          <w:color w:val="0000FF"/>
          <w:sz w:val="28"/>
        </w:rPr>
        <w:t>onboard</w:t>
      </w:r>
      <w:proofErr w:type="spellEnd"/>
      <w:r>
        <w:rPr>
          <w:rFonts w:ascii="Times New Roman" w:hAnsi="Times New Roman"/>
          <w:color w:val="0000FF"/>
          <w:sz w:val="28"/>
        </w:rPr>
        <w:t xml:space="preserve"> EIS), интегрируемой в BMS, и динамической ЭИС показывают, что сокращение измерительного протокола и корректная работа при изменяющейся рабочей точке являются ключевыми условиями переноса импедансной диагностики из лаборатории в транспортную систему управления [15–17].</w:t>
      </w:r>
    </w:p>
    <w:p w14:paraId="4DC45EA3" w14:textId="7777777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Диаграмма Боде позволяет непосредственно проследить изменение |Z| и фазового угла по частоте и тем самым выделить диапазоны максимальной чувствительности к выбранным параметрам. В диссертационной постановке это служит основанием для последующего формирования сокращённого частотного протокола, который должен оптимизироваться по информативности, времени измерения и устойчивости идентификации.</w:t>
      </w:r>
    </w:p>
    <w:p w14:paraId="016F8303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01BDDE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1.13: диаграмма Боде приведена как обзорная схематическая реконструкция для пояснения частотной чувствительности и выбора диагностических диапазонов на основе работ по классической, </w:t>
      </w:r>
      <w:r>
        <w:rPr>
          <w:rFonts w:ascii="Times New Roman" w:hAnsi="Times New Roman"/>
          <w:color w:val="FF0000"/>
          <w:sz w:val="28"/>
        </w:rPr>
        <w:lastRenderedPageBreak/>
        <w:t>встроенной и динамической ЭИС [14–17]. Это не собственный экспериментальный спектр.</w:t>
      </w:r>
    </w:p>
    <w:p w14:paraId="13DDB4D6" w14:textId="77777777" w:rsidR="00D567B3" w:rsidRDefault="00D567B3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764881A" wp14:editId="485B288A">
            <wp:extent cx="5595582" cy="3349615"/>
            <wp:effectExtent l="0" t="0" r="5715" b="3810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 rotWithShape="1"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362" cy="335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F23C9" w14:textId="77777777" w:rsidR="00223448" w:rsidRPr="00206F49" w:rsidRDefault="00223448" w:rsidP="008353D2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>Рисунок 1.13 — Типовая диаграмма Боде для тягового литий-ионного элемента: обзорная иллюстрация</w:t>
      </w:r>
    </w:p>
    <w:p w14:paraId="31BCB465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схематическая реконструкция типовой диаграммы Боде по [14–17]; не является собственным экспериментальным спектром.</w:t>
      </w:r>
    </w:p>
    <w:p w14:paraId="2F6144BC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6A30F" w14:textId="77777777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 рисунке 1.13 высокочастотная область соответствует преимущественно резистивному отклику, в среднечастотном диапазоне усиливается вклад межфазной релаксации, а на низких частотах — медленных транспортных процессов. Конкретные частотные границы являются свойством элемента и режима, а не универсальными константами.</w:t>
      </w:r>
    </w:p>
    <w:p w14:paraId="4AFA4A38" w14:textId="77777777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Методический вывод из рисунка 1.13 состоит в возможности перейти от полного спектра к целевым частотам при условии сохранения идентифицируемости RΩ,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диффузионного признака. Сводная физическая интерпретация частотных областей приведена в таблице 1.5.</w:t>
      </w:r>
    </w:p>
    <w:p w14:paraId="7EFE2307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92B7D4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lastRenderedPageBreak/>
        <w:t>Происхождение таблицы 1.5: соответствие частотных областей ЭИС, эквивалентных параметров и физических процессов обобщено по теории эквивалентных схем и работам по встроенной/динамической импедансной диагностике [14–17].</w:t>
      </w:r>
    </w:p>
    <w:p w14:paraId="75A33C9E" w14:textId="77777777" w:rsidR="00CE291A" w:rsidRPr="00206F49" w:rsidRDefault="00CE291A" w:rsidP="008353D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Таблица 1.5 — Физическая интерпретация основных элементов ЭИС-спектра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:rsidRPr="00715E25" w14:paraId="7D7824E8" w14:textId="77777777" w:rsidTr="009E241A">
        <w:tc>
          <w:tcPr>
            <w:tcW w:w="2406" w:type="dxa"/>
            <w:vAlign w:val="center"/>
          </w:tcPr>
          <w:p w14:paraId="12597C4D" w14:textId="77777777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Частотная</w:t>
            </w: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область</w:t>
            </w:r>
          </w:p>
        </w:tc>
        <w:tc>
          <w:tcPr>
            <w:tcW w:w="2407" w:type="dxa"/>
            <w:vAlign w:val="center"/>
          </w:tcPr>
          <w:p w14:paraId="0E02560A" w14:textId="77777777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Доминирующий процесс</w:t>
            </w:r>
          </w:p>
        </w:tc>
        <w:tc>
          <w:tcPr>
            <w:tcW w:w="2407" w:type="dxa"/>
            <w:vAlign w:val="center"/>
          </w:tcPr>
          <w:p w14:paraId="0AAB7CBA" w14:textId="77777777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Основной параметр</w:t>
            </w:r>
          </w:p>
        </w:tc>
        <w:tc>
          <w:tcPr>
            <w:tcW w:w="2407" w:type="dxa"/>
            <w:vAlign w:val="center"/>
          </w:tcPr>
          <w:p w14:paraId="6FDC9CCC" w14:textId="77777777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Диагностическое значение</w:t>
            </w:r>
          </w:p>
        </w:tc>
      </w:tr>
      <w:tr w:rsidR="00156EC4" w:rsidRPr="00715E25" w14:paraId="21B21C10" w14:textId="77777777" w:rsidTr="009E241A">
        <w:tc>
          <w:tcPr>
            <w:tcW w:w="2406" w:type="dxa"/>
            <w:vAlign w:val="center"/>
          </w:tcPr>
          <w:p w14:paraId="052CE094" w14:textId="77777777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Высокие частоты</w:t>
            </w:r>
          </w:p>
        </w:tc>
        <w:tc>
          <w:tcPr>
            <w:tcW w:w="2407" w:type="dxa"/>
            <w:vAlign w:val="center"/>
          </w:tcPr>
          <w:p w14:paraId="25B050D4" w14:textId="77777777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  <w:vAlign w:val="center"/>
          </w:tcPr>
          <w:p w14:paraId="78199E4B" w14:textId="77777777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  <w:vAlign w:val="center"/>
          </w:tcPr>
          <w:p w14:paraId="09DA95D1" w14:textId="77777777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Контроль контактных и электролитных потерь</w:t>
            </w:r>
          </w:p>
        </w:tc>
      </w:tr>
      <w:tr w:rsidR="00156EC4" w:rsidRPr="00715E25" w14:paraId="1D5F1546" w14:textId="77777777" w:rsidTr="009E241A">
        <w:tc>
          <w:tcPr>
            <w:tcW w:w="2406" w:type="dxa"/>
            <w:vAlign w:val="center"/>
          </w:tcPr>
          <w:p w14:paraId="48EB60F0" w14:textId="77777777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Средние частоты</w:t>
            </w:r>
          </w:p>
        </w:tc>
        <w:tc>
          <w:tcPr>
            <w:tcW w:w="2407" w:type="dxa"/>
            <w:vAlign w:val="center"/>
          </w:tcPr>
          <w:p w14:paraId="08F2A9D6" w14:textId="77777777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  <w:vAlign w:val="center"/>
          </w:tcPr>
          <w:p w14:paraId="606A37A1" w14:textId="77777777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ct</w:t>
            </w:r>
            <w:proofErr w:type="spellEnd"/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C</w:t>
            </w:r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Ωdl</w:t>
            </w:r>
            <w:proofErr w:type="spellEnd"/>
          </w:p>
        </w:tc>
        <w:tc>
          <w:tcPr>
            <w:tcW w:w="2407" w:type="dxa"/>
            <w:vAlign w:val="center"/>
          </w:tcPr>
          <w:p w14:paraId="65E500DD" w14:textId="77777777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Наиболее чувствительная область для ранней деградации</w:t>
            </w:r>
          </w:p>
        </w:tc>
      </w:tr>
      <w:tr w:rsidR="00156EC4" w:rsidRPr="00715E25" w14:paraId="15A2D53D" w14:textId="77777777" w:rsidTr="009E241A">
        <w:tc>
          <w:tcPr>
            <w:tcW w:w="2406" w:type="dxa"/>
            <w:vAlign w:val="center"/>
          </w:tcPr>
          <w:p w14:paraId="63BFE2FD" w14:textId="77777777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Низкие частоты</w:t>
            </w:r>
          </w:p>
        </w:tc>
        <w:tc>
          <w:tcPr>
            <w:tcW w:w="2407" w:type="dxa"/>
            <w:vAlign w:val="center"/>
          </w:tcPr>
          <w:p w14:paraId="5373E577" w14:textId="77777777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  <w:vAlign w:val="center"/>
          </w:tcPr>
          <w:p w14:paraId="2036F31B" w14:textId="77777777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Z</w:t>
            </w:r>
            <w:r w:rsidRPr="00715E25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w</w:t>
            </w:r>
            <w:proofErr w:type="spellEnd"/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σ</w:t>
            </w:r>
          </w:p>
        </w:tc>
        <w:tc>
          <w:tcPr>
            <w:tcW w:w="2407" w:type="dxa"/>
            <w:vAlign w:val="center"/>
          </w:tcPr>
          <w:p w14:paraId="7719035C" w14:textId="77777777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Оценка ограничений массопереноса и глубинной деградации</w:t>
            </w:r>
          </w:p>
        </w:tc>
      </w:tr>
    </w:tbl>
    <w:p w14:paraId="22DB3F88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210AFD" w14:textId="7777777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Как следует из таблицы 1.5, ЭИС сочетает физическую интерпретируемость и потенциальную пригодность для экспресс-диагностики. Однако параметрический смысл спектра сохраняется только при контроле режима и адекватности выбранной схемы; поэтому последующая задача заключается не в механическом использовании полного спектра, а в выделении устойчивых ресурсно-чувствительных признаков.</w:t>
      </w:r>
    </w:p>
    <w:p w14:paraId="1EAF69CC" w14:textId="77777777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Остаётся принципиальный вопрос: насколько устойчиво эти признаки можно связать с SOH и RUL в нестационарных тяговых режимах. Для ответа необходимо критически сопоставить существующие классы прогностических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моделей по физической обоснованности, переносимости, вычислительной сложности и возможности интеграции с ЭИС.</w:t>
      </w:r>
    </w:p>
    <w:p w14:paraId="4A7A8170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C486B8" w14:textId="77777777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0058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0671234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640E60" w14:textId="7777777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Прогнозирование остаточного ресурса аккумуляторных батарей развивается на стыке электрохимии, теории оценивания, надёжности и методов анализа данных. Современная систематизация показывает смещение от локальных эмпирических зависимостей к моделям, сочетающим физические ограничения, онлайн-оценивание и статистическое обучение [13]. Под онлайн-оцениванием далее понимается последовательное обновление оценки по мере поступления измерений без необходимости предварительно располагать полным массивом данных. Для диссертационной задачи принципиально оценивать не только точность модели, но и её переносимость между режимами, интерпретируемость и возможность работы с ранними признаками деградации.</w:t>
      </w:r>
    </w:p>
    <w:p w14:paraId="428844B4" w14:textId="77777777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Существующие подходы далее разделены на шесть классов: эмпирические; физико-химические; фильтрационные и наблюдательные; модели, основанные на данных; гибридные;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импедансно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-ориентированные. Такое деление используется как аналитическая рамка: отдельная публикация может сочетать несколько классов. Критериями сравнения являются физическая содержательность, требования к данным, вычислительная сложность, ранняя чувствительность и пригодность для BMS.</w:t>
      </w:r>
    </w:p>
    <w:p w14:paraId="00C08057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084000" w14:textId="77777777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1.5.1 Эмпирические модели деградации</w:t>
      </w:r>
    </w:p>
    <w:p w14:paraId="7B8C3B41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CA30B6" w14:textId="77777777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Эмпирические модели аппроксимируют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деградационную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траекторию функцией числа циклов, времени, пропущенного заряда или энергии. Простейшая линейная форма для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71030BB7" w14:textId="77777777" w:rsidTr="00467154">
        <w:tc>
          <w:tcPr>
            <w:tcW w:w="3209" w:type="dxa"/>
            <w:vAlign w:val="center"/>
          </w:tcPr>
          <w:p w14:paraId="60BB98F2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7E76C29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068" type="#_x0000_t75" style="width:80.25pt;height:18.75pt" o:ole="">
                  <v:imagedata r:id="rId107" o:title=""/>
                </v:shape>
                <o:OLEObject Type="Embed" ProgID="Equation.DSMT4" ShapeID="_x0000_i1068" DrawAspect="Content" ObjectID="_1847949852" r:id="rId108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2D181E" w14:textId="77777777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(1.37)</w:t>
            </w:r>
          </w:p>
        </w:tc>
      </w:tr>
    </w:tbl>
    <w:p w14:paraId="1CE55D0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где C0 — начальная ёмкость; N — число циклов; K≥0 — эмпирический коэффициент скорости деградации. Формула (1.37) является регрессионной аппроксимацией и не выводится из фундаментального механизма старения.</w:t>
      </w:r>
    </w:p>
    <w:p w14:paraId="262D83AC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Достоинство линейной модели — минимальное число параметров и прозрачность экстраполяции; её ограничение — неспособность описать изменение скорости деградации и переход к ускоренному участку. Поэтому такая модель целесообразна прежде всего как базовый метод сравнения, относительно которого количественно оценивается выигрыш более сложных методов.</w:t>
      </w:r>
    </w:p>
    <w:p w14:paraId="3B211994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Для процессов, контролируемых диффузией через растущий межфазный слой, используется корневая зависимость вида (1.38).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5826E0F8" w14:textId="77777777" w:rsidTr="00467154">
        <w:tc>
          <w:tcPr>
            <w:tcW w:w="3209" w:type="dxa"/>
            <w:vAlign w:val="center"/>
          </w:tcPr>
          <w:p w14:paraId="7FDF102A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7C0D73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069" type="#_x0000_t75" style="width:90.75pt;height:19.5pt" o:ole="">
                  <v:imagedata r:id="rId109" o:title=""/>
                </v:shape>
                <o:OLEObject Type="Embed" ProgID="Equation.DSMT4" ShapeID="_x0000_i1069" DrawAspect="Content" ObjectID="_1847949853" r:id="rId110"/>
              </w:object>
            </w:r>
          </w:p>
        </w:tc>
        <w:tc>
          <w:tcPr>
            <w:tcW w:w="3209" w:type="dxa"/>
            <w:vAlign w:val="center"/>
          </w:tcPr>
          <w:p w14:paraId="511CC7B9" w14:textId="77777777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(1.38)</w:t>
            </w:r>
          </w:p>
        </w:tc>
      </w:tr>
    </w:tbl>
    <w:p w14:paraId="66915EFC" w14:textId="77777777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В (1.38) C0 — начальная ёмкость; N — число циклов; a≥0 — идентифицируемый коэффициент корневого снижения ёмкости. Корневая форма мотивирована решением диффузионной задачи и законом δ∝√t для ряда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пассивирующих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слоёв; при замене времени на эквивалентную циклическую координату получается феноменологическая зависимость C(N). Такое обоснование справедливо только при доминировании соответствующего механизма и не описывает весь жизненный цикл батареи [4, 5].</w:t>
      </w:r>
    </w:p>
    <w:p w14:paraId="71F5E207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Более гибкая эмпирическая аппроксимация может включать линейный и квадратичный члены: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18"/>
        <w:gridCol w:w="3209"/>
      </w:tblGrid>
      <w:tr w:rsidR="00DA39BF" w14:paraId="04276757" w14:textId="77777777" w:rsidTr="00467154">
        <w:tc>
          <w:tcPr>
            <w:tcW w:w="6418" w:type="dxa"/>
            <w:vAlign w:val="center"/>
          </w:tcPr>
          <w:p w14:paraId="00ED29BF" w14:textId="77777777" w:rsidR="00740A8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4F7EAB" wp14:editId="27BB5F6F">
                  <wp:extent cx="3063240" cy="222619"/>
                  <wp:effectExtent l="0" t="0" r="0" b="0"/>
                  <wp:docPr id="2112960507" name="Picture 21129605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39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22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9" w:type="dxa"/>
            <w:vAlign w:val="center"/>
          </w:tcPr>
          <w:p w14:paraId="256739F6" w14:textId="77777777" w:rsidR="00740A8D" w:rsidRDefault="00000000">
            <w:pPr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(1.39)</w:t>
            </w:r>
          </w:p>
        </w:tc>
      </w:tr>
    </w:tbl>
    <w:p w14:paraId="76B432D5" w14:textId="77777777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где k1 и k2 — идентифицируемые неотрицательные коэффициенты при принятой форме убывания ёмкости. Формула (1.39) также является феноменологической. При изменении температуры, SOC-окна, C-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rate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или химии коэффициенты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должны переоцениваться; экстраполяция за пределы области идентификации требует отдельной проверки.</w:t>
      </w:r>
    </w:p>
    <w:p w14:paraId="7A0EFCBD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02E1B6" w14:textId="77777777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1.5.2 Физико-химические модели</w:t>
      </w:r>
    </w:p>
    <w:p w14:paraId="0599D11F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F8491B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Физико-химические модели явно связывают состояние батареи с кинетикой переноса заряда, диффузией, тепловым балансом, ростом межфазных слоёв и потерями активного материала. Их преимущество — интерпретируемость и возможность физически обоснованного сценарного анализа; их практическое ограничение — большое число параметров и необходимость наблюдаемости этих параметров из доступных измерений.</w:t>
      </w:r>
    </w:p>
    <w:p w14:paraId="68198F83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Типовая связь межфазной деградации с ростом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определяется линеаризованной кинетикой Батлера–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Фольмера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, повторённой в (1.40) для сопоставления классов моделей: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сопротивление переноса заряда; R — универсальная газовая постоянная; T — абсолютная температура; F — постоянная Фарадея; i0 — обменный ток. Формула (1.40) эквивалентна (1.7), (1.9) и приведена здесь как физическая основа соответствующего класса моделей [1].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4F2763F8" w14:textId="77777777" w:rsidTr="00467154">
        <w:tc>
          <w:tcPr>
            <w:tcW w:w="3209" w:type="dxa"/>
            <w:vAlign w:val="center"/>
          </w:tcPr>
          <w:p w14:paraId="37A3746D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4B6394A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070" type="#_x0000_t75" style="width:48.75pt;height:33.75pt" o:ole="">
                  <v:imagedata r:id="rId112" o:title=""/>
                </v:shape>
                <o:OLEObject Type="Embed" ProgID="Equation.DSMT4" ShapeID="_x0000_i1070" DrawAspect="Content" ObjectID="_1847949854" r:id="rId113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DC08E7F" w14:textId="77777777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(1.40)</w:t>
            </w:r>
          </w:p>
        </w:tc>
      </w:tr>
    </w:tbl>
    <w:p w14:paraId="35330606" w14:textId="77777777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Поскольку уменьшение эффективной активной площади и ухудшение межфазной кинетики снижают i0,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возрастает. Для объединения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термоактивируемого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режимного вклада скорость обобщённой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координаты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2445E2E5" w14:textId="77777777" w:rsidTr="009E3667">
        <w:tc>
          <w:tcPr>
            <w:tcW w:w="2371" w:type="dxa"/>
            <w:vAlign w:val="center"/>
          </w:tcPr>
          <w:p w14:paraId="017AE15C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62243D58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071" type="#_x0000_t75" style="width:224.25pt;height:33.75pt" o:ole="">
                  <v:imagedata r:id="rId114" o:title=""/>
                </v:shape>
                <o:OLEObject Type="Embed" ProgID="Equation.DSMT4" ShapeID="_x0000_i1071" DrawAspect="Content" ObjectID="_1847949855" r:id="rId115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23523848" w14:textId="77777777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(1.41)</w:t>
            </w:r>
          </w:p>
        </w:tc>
      </w:tr>
    </w:tbl>
    <w:p w14:paraId="281E42A2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D —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деградационная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координата; A —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предэкспоненциальный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коэффициент;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Ea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эффективная энергия активации; R — универсальная газовая постоянная; T — абсолютная температура;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g(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·) — идентифицируемая функция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режимных факторов, например тока I, SOC, глубины изменения напряжения ΔV и режима эксплуатации. Формула (1.41) является авторской обобщающей феноменологической записью: первый член имеет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аррениусовское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происхождение, второй не задаётся универсально и должен идентифицироваться по эксперименту [4].</w:t>
      </w:r>
    </w:p>
    <w:p w14:paraId="2BEF19B8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Преимущество физически мотивированного класса состоит в лучшей интерпретируемости и потенциальной переносимости при корректной параметризации. Недостатки — структурная сложность, коррелированность параметров и вычислительная нагрузка. Поэтому для BMS практически значима редукция физической модели до наблюдаемых параметров, сохраняющих связь с механизмами деградации.</w:t>
      </w:r>
    </w:p>
    <w:p w14:paraId="0EBA6BA8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0CE45" w14:textId="77777777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49A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1.5.3 Фильтрационные и </w:t>
      </w:r>
      <w:r w:rsidR="00A66776" w:rsidRPr="004349A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методы </w:t>
      </w:r>
      <w:r w:rsidR="001E03EB" w:rsidRPr="004349A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на основе</w:t>
      </w:r>
      <w:r w:rsidR="00A66776" w:rsidRPr="004349A8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наблюд</w:t>
      </w:r>
      <w:r w:rsidR="001E03EB" w:rsidRPr="004349A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ений</w:t>
      </w:r>
    </w:p>
    <w:p w14:paraId="1FB5F66C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BB6068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Фильтрационные и наблюдательные методы рассматривают батарею как динамическую систему состояния и рекурсивно обновляют скрытые переменные по измерениям. Обобщённая нелинейная дискретная запись имеет вид (1.42) [2].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47C13A5E" w14:textId="77777777" w:rsidTr="00D26226">
        <w:tc>
          <w:tcPr>
            <w:tcW w:w="2547" w:type="dxa"/>
            <w:vAlign w:val="center"/>
          </w:tcPr>
          <w:p w14:paraId="096E411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5C3B185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072" type="#_x0000_t75" style="width:101.25pt;height:19.5pt" o:ole="">
                  <v:imagedata r:id="rId116" o:title=""/>
                </v:shape>
                <o:OLEObject Type="Embed" ProgID="Equation.DSMT4" ShapeID="_x0000_i1072" DrawAspect="Content" ObjectID="_1847949856" r:id="rId117"/>
              </w:object>
            </w:r>
            <w:r w:rsidRPr="00EC469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073" type="#_x0000_t75" style="width:75pt;height:19.5pt" o:ole="">
                  <v:imagedata r:id="rId118" o:title=""/>
                </v:shape>
                <o:OLEObject Type="Embed" ProgID="Equation.DSMT4" ShapeID="_x0000_i1073" DrawAspect="Content" ObjectID="_1847949857" r:id="rId119"/>
              </w:object>
            </w:r>
            <w:r w:rsidRPr="00EC469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1F7E34ED" w14:textId="77777777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(1.42)</w:t>
            </w:r>
          </w:p>
        </w:tc>
      </w:tr>
    </w:tbl>
    <w:p w14:paraId="5AE912EC" w14:textId="77777777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где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xk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вектор скрытых состояний в момент k;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uk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вектор управляющих/нагрузочных воздействий;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yk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измерения;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f(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·) и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h(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·) — функции перехода состояния и наблюдения;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wk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vk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соответственно процессный и измерительный шумы. Формула (1.42) задаёт общую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state-space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структуру и не является специфичной только для батарей [2].</w:t>
      </w:r>
    </w:p>
    <w:p w14:paraId="3A87BB5B" w14:textId="77777777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Если в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xk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включить параметры деградации или коэффициенты эквивалентной схемы, наблюдатель может совместно оценивать быстрое состояние SOC и медленные параметры старения. При этом идентифицируемость и наблюдаемость должны проверяться для конкретного набора входов и измерений.</w:t>
      </w:r>
    </w:p>
    <w:p w14:paraId="042B60D0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Главное достоинство фильтрационных методов — совместимость с последовательной BMS-обработкой. Ограничение состоит в зависимости от корректности структуры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f(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·),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h(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>·), статистики шумов и начальной инициализации: рекурсивный алгоритм не компенсирует систематическую ошибку базовой модели.</w:t>
      </w:r>
    </w:p>
    <w:p w14:paraId="0F2DBB5F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79DAA4" w14:textId="77777777" w:rsidR="00681A90" w:rsidRPr="00EB0A31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00FF"/>
          <w:sz w:val="28"/>
        </w:rPr>
        <w:t>1.5.4 Модели, основанные на данных и машинном обучении</w:t>
      </w:r>
    </w:p>
    <w:p w14:paraId="25C5A916" w14:textId="77777777" w:rsidR="00681A90" w:rsidRPr="00EB0A31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F46CDD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Модели, основанные на данных, аппроксимируют нелинейное отображение от измеряемых или извлечённых признаков к SOH/RUL. В обобщённом виде такое отображение записывается как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7A7B5DD" w14:textId="77777777" w:rsidTr="00D26226">
        <w:tc>
          <w:tcPr>
            <w:tcW w:w="3030" w:type="dxa"/>
            <w:vAlign w:val="center"/>
          </w:tcPr>
          <w:p w14:paraId="7E0112C7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  <w:vAlign w:val="center"/>
          </w:tcPr>
          <w:p w14:paraId="0A3A5ADA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074" type="#_x0000_t75" style="width:165pt;height:19.5pt" o:ole="">
                  <v:imagedata r:id="rId120" o:title=""/>
                </v:shape>
                <o:OLEObject Type="Embed" ProgID="Equation.DSMT4" ShapeID="_x0000_i1074" DrawAspect="Content" ObjectID="_1847949858" r:id="rId121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071" w:type="dxa"/>
            <w:vAlign w:val="center"/>
          </w:tcPr>
          <w:p w14:paraId="7BBC08BA" w14:textId="77777777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(1.43)</w:t>
            </w:r>
          </w:p>
        </w:tc>
      </w:tr>
    </w:tbl>
    <w:p w14:paraId="77F8C782" w14:textId="77777777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где </w:t>
      </w:r>
      <w:proofErr w:type="gramStart"/>
      <w:r>
        <w:rPr>
          <w:rFonts w:ascii="Times New Roman" w:hAnsi="Times New Roman"/>
          <w:color w:val="0000FF"/>
          <w:sz w:val="28"/>
        </w:rPr>
        <w:t>M(</w:t>
      </w:r>
      <w:proofErr w:type="gramEnd"/>
      <w:r>
        <w:rPr>
          <w:rFonts w:ascii="Times New Roman" w:hAnsi="Times New Roman"/>
          <w:color w:val="0000FF"/>
          <w:sz w:val="28"/>
        </w:rPr>
        <w:t xml:space="preserve">·) — идентифицированная модель; z(t) — вектор признаков, например параметры напряжения, тока, температуры, зарядных кривых или ЭИС; u(t) — режимное воздействие; T(t) — температура; </w:t>
      </w:r>
      <w:proofErr w:type="spellStart"/>
      <w:r>
        <w:rPr>
          <w:rFonts w:ascii="Times New Roman" w:hAnsi="Times New Roman"/>
          <w:color w:val="0000FF"/>
          <w:sz w:val="28"/>
        </w:rPr>
        <w:t>history</w:t>
      </w:r>
      <w:proofErr w:type="spellEnd"/>
      <w:r>
        <w:rPr>
          <w:rFonts w:ascii="Times New Roman" w:hAnsi="Times New Roman"/>
          <w:color w:val="0000FF"/>
          <w:sz w:val="28"/>
        </w:rPr>
        <w:t xml:space="preserve"> — используемый временной контекст. Формула (1.43) является общей функциональной записью прогноза, основанного на данных, а не конкретным алгоритмом.</w:t>
      </w:r>
    </w:p>
    <w:p w14:paraId="1E0AB98B" w14:textId="77777777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Преимущество моделей, основанных на данных, состоит в способности воспроизводить сложные нелинейные зависимости без полного механистического описания. Основные ограничения связаны с репрезентативностью обучающей выборки, сдвигом распределения между обучением и эксплуатацией и ограниченной интерпретируемостью. Эти факторы особенно существенны при прогнозировании за пределами режимов, представленных в обучающей выборке [18, 19].</w:t>
      </w:r>
    </w:p>
    <w:p w14:paraId="1C7CD1F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ЭИС-ориентированные модели, основанные на данных, уменьшают разрыв между физическим описанием и статистической аппроксимацией, поскольку используют спектральные признаки внутреннего состояния. Работы по раннему прогнозированию срока службы демонстрируют принципиальную возможность </w:t>
      </w:r>
      <w:r>
        <w:rPr>
          <w:rFonts w:ascii="Times New Roman" w:hAnsi="Times New Roman"/>
          <w:color w:val="0000FF"/>
          <w:sz w:val="28"/>
        </w:rPr>
        <w:lastRenderedPageBreak/>
        <w:t>связывать форму зарядных и импедансных признаков с будущей долговечностью [20, 21]. Для настоящей диссертации остаётся открытым вопрос устойчивости такой связи при нестационарной тяговой нагрузке и переносе между NMC, LFP, LTO и Na-</w:t>
      </w:r>
      <w:proofErr w:type="spellStart"/>
      <w:r>
        <w:rPr>
          <w:rFonts w:ascii="Times New Roman" w:hAnsi="Times New Roman"/>
          <w:color w:val="0000FF"/>
          <w:sz w:val="28"/>
        </w:rPr>
        <w:t>ion</w:t>
      </w:r>
      <w:proofErr w:type="spellEnd"/>
      <w:r>
        <w:rPr>
          <w:rFonts w:ascii="Times New Roman" w:hAnsi="Times New Roman"/>
          <w:color w:val="0000FF"/>
          <w:sz w:val="28"/>
        </w:rPr>
        <w:t>.</w:t>
      </w:r>
    </w:p>
    <w:p w14:paraId="7B8F49EA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31392C3" w14:textId="77777777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68195B">
        <w:rPr>
          <w:rFonts w:ascii="Times New Roman" w:hAnsi="Times New Roman" w:cs="Times New Roman"/>
          <w:b/>
          <w:bCs/>
          <w:iCs/>
          <w:color w:val="000000"/>
          <w:sz w:val="28"/>
          <w:szCs w:val="28"/>
        </w:rPr>
        <w:t>1.5.5 Гибридные модели</w:t>
      </w:r>
    </w:p>
    <w:p w14:paraId="60F22D50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C1342C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Гибридные модели объединяют структурные физические ограничения с компонентами, идентифицируемыми по данным. К этому классу относятся модели с физически мотивированными входными признаками, физическими ограничениями в целевой функции либо статистической коррекцией параметров упрощённой физической модели. Физически информированные подходы показывают потенциал такого объединения для батарейных задач [22, 23].</w:t>
      </w:r>
    </w:p>
    <w:p w14:paraId="1FFB5B38" w14:textId="77777777" w:rsidR="009D1301" w:rsidRPr="009D1301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В настоящей работе роль физически мотивированных признаков отводится параметрам импеданса. Это позволяет ограничить пространство признаков величинами, связанными с межфазной кинетикой, диффузией и омическими потерями, а статистическую часть использовать для калибровки нелинейных и химически специфичных связей.</w:t>
      </w:r>
    </w:p>
    <w:p w14:paraId="08E74804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C27EAC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1.5.6 Импедансные модели прогнозирования ресурса</w:t>
      </w:r>
    </w:p>
    <w:p w14:paraId="5F824F52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9D787" w14:textId="77777777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/>
          <w:color w:val="0000FF"/>
          <w:sz w:val="28"/>
        </w:rPr>
        <w:t>Импедансно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-ориентированный класс непосредственно использует параметры Z(ω) или признаки спектра как маркеры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состояния. Его преимущество состоит в ранней чувствительности к внутренним изменениям до выраженной потери ёмкости; основное инженерное ограничение — необходимость быстрой и устойчивой идентификации при меняющихся SOC, температуре и нагрузке [12, 21].</w:t>
      </w:r>
    </w:p>
    <w:p w14:paraId="513E2E9C" w14:textId="77777777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При выборе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как локально монотонной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координаты линейная оценка RUL записывается формулой (1.44). Она эквивалентна форме (1.25), но здесь используется для сравнения класса прогностических моделей.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5EF06EF" w14:textId="77777777" w:rsidTr="00204DC0">
        <w:tc>
          <w:tcPr>
            <w:tcW w:w="3209" w:type="dxa"/>
            <w:vAlign w:val="center"/>
          </w:tcPr>
          <w:p w14:paraId="598EE4F9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9F2F72D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075" type="#_x0000_t75" style="width:102.75pt;height:35.25pt" o:ole="">
                  <v:imagedata r:id="rId122" o:title=""/>
                </v:shape>
                <o:OLEObject Type="Embed" ProgID="Equation.DSMT4" ShapeID="_x0000_i1075" DrawAspect="Content" ObjectID="_1847949859" r:id="rId123"/>
              </w:object>
            </w:r>
            <w:r w:rsidRPr="00EC469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59016791" w14:textId="77777777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(1.44)</w:t>
            </w:r>
          </w:p>
        </w:tc>
      </w:tr>
    </w:tbl>
    <w:p w14:paraId="5DE9CFD2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Если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dN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зависит от состояния, переход к предельному значению 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Rct,crit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задаётся интегральной формой (1.45). В формулах (1.44)–(1.45) 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Rct,cur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— текущее значение, 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Rct,crit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— значение при принятом критерии предельного состояния, N — циклическая координата. Эти выражения являются авторской формализацией прогноза по монотонному импедансному признаку; физическая корректность порога и функции скорости должна подтверждаться экспериментально [12, 21].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E8A31D1" w14:textId="77777777" w:rsidTr="00AD1FA3">
        <w:tc>
          <w:tcPr>
            <w:tcW w:w="3209" w:type="dxa"/>
            <w:vAlign w:val="center"/>
          </w:tcPr>
          <w:p w14:paraId="6DD692B0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BC65D40" w14:textId="77777777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076" type="#_x0000_t75" style="width:107.25pt;height:33.75pt" o:ole="">
                  <v:imagedata r:id="rId124" o:title=""/>
                </v:shape>
                <o:OLEObject Type="Embed" ProgID="Equation.DSMT4" ShapeID="_x0000_i1076" DrawAspect="Content" ObjectID="_1847949860" r:id="rId125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63F44F11" w14:textId="7777777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(1.45)</w:t>
            </w:r>
          </w:p>
        </w:tc>
      </w:tr>
    </w:tbl>
    <w:p w14:paraId="06A5F552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Преимущество такой постановки — явная интерпретация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координаты. Риски — температурная и SOC-зависимость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возможная немонотонность отдельных спектральных признаков и неопределённость экстраполяции. Поэтому импедансный прогноз должен включать режимную нормализацию и оценку доверительного/прогностического интервала.</w:t>
      </w:r>
    </w:p>
    <w:p w14:paraId="27C10ED3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Выявляемый научный разрыв следует формулировать ограниченно: в литературе уже доказана информативность ЭИС и показана возможность раннего прогноза, однако отсутствует общепринятая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инженерно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компактная схема, одновременно связывающая динамически измеряемые импедансные признаки с SOH, скоростью деградации и RUL при переносе между различными тяговыми режимами и химическими системами [12, 20, 21]. Сравнение классов моделей по ключевым свойствам сведено в таблицу 1.6.</w:t>
      </w:r>
    </w:p>
    <w:p w14:paraId="34628BCC" w14:textId="77777777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/>
          <w:b/>
          <w:color w:val="0000FF"/>
          <w:sz w:val="28"/>
        </w:rPr>
        <w:t>1.5.7 Российские научные школы электрохимической диагностики и аккумуляторного материаловедения</w:t>
      </w:r>
    </w:p>
    <w:p w14:paraId="4399CE1A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lastRenderedPageBreak/>
        <w:t xml:space="preserve">Для полноты историографического и методологического анализа необходимо отдельно выделить российские исследования, сформировавшие самостоятельные линии работ по электрохимической энергетике, импедансной диагностике, ионному транспорту и моделированию электродов. В настоящей главе термин «научная школа» используется в аналитическом смысле — как обозначение устойчивого институционально и тематически связанного исследовательского направления. Московская школа электрохимической энергетики ИФХЭ РАН, связанная прежде всего с работами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Т. Л. Куловой, внесла существенный вклад в физическую интерпретацию импеданса литий-ионных аккумуляторов; в работе Т. Л. Куловой, В. А. Тарнопольского и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непосредственно рассмотрена структура импедансного отклика литий-ионной батареи и связь его составляющих с внутренними процессами [24].</w:t>
      </w:r>
    </w:p>
    <w:p w14:paraId="7E848FBC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Саратовская школа электрохимии химических источников тока и импедансной спектроскопии, представленная работами А. В. Чурикова, А. В. Иванищева, И. А. Иванищевой, И. М. Гамаюновой, А. В. Ушакова и их соавторов, последовательно развивала идентификацию кинетических и диффузионных параметров электродов. А. В. Иванищев, А. В. Чуриков и соавторы показали возможности ЭИС для раздельного анализа процессов в литий-углеродных электродах [25]; А. В. Чуриков и В. О. Романова использовали импедансный метод для определения коэффициента диффузии лития [26]. В последующих работах А. В. Иванищева, А. В. Чурикова, И. А. Иванищевой и А. В. Ушакова ЭИС была объединена с циклической вольтамперометрией, PITT и GITT для совместной идентификации транспорта лития [27]. Межшкольная работа с участием А. В. Иванищева, А. В. Ушакова, С. С. Федотова, Н. Р. Хасановой и Е. В. Антипова дополнительно показала, что согласование структурных и электрохимических методов позволяет отделять поверхностные и объёмные транспортные ограничения [28].</w:t>
      </w:r>
    </w:p>
    <w:p w14:paraId="3E8B2CC3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lastRenderedPageBreak/>
        <w:t xml:space="preserve">В московском направлении материаловедения и ионного транспорта аккумуляторных электродов работы Т. Л. Куловой и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систематизировали требования к материалам нового поколения [29], а исследования А. Б. Ярославцева, Т. Л. Куловой и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связали размерный фактор, структуру электродных наноматериалов и кинетику литиевого транспорта [30]. Для LTO-систем И. А. Стенина, Т. Л. Кулова,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</w:t>
      </w:r>
      <w:proofErr w:type="spellEnd"/>
      <w:r>
        <w:rPr>
          <w:rFonts w:ascii="Times New Roman" w:hAnsi="Times New Roman"/>
          <w:color w:val="0000FF"/>
          <w:sz w:val="28"/>
        </w:rPr>
        <w:t xml:space="preserve">, Н. Ю. </w:t>
      </w:r>
      <w:proofErr w:type="spellStart"/>
      <w:r>
        <w:rPr>
          <w:rFonts w:ascii="Times New Roman" w:hAnsi="Times New Roman"/>
          <w:color w:val="0000FF"/>
          <w:sz w:val="28"/>
        </w:rPr>
        <w:t>Табачкова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А. Б. Ярославцев экспериментально исследовали влияние углеродного покрытия на электрохимические характеристики </w:t>
      </w:r>
      <w:proofErr w:type="spellStart"/>
      <w:r>
        <w:rPr>
          <w:rFonts w:ascii="Times New Roman" w:hAnsi="Times New Roman"/>
          <w:color w:val="0000FF"/>
          <w:sz w:val="28"/>
        </w:rPr>
        <w:t>Li₄Ti₅O</w:t>
      </w:r>
      <w:proofErr w:type="spellEnd"/>
      <w:r>
        <w:rPr>
          <w:rFonts w:ascii="Times New Roman" w:hAnsi="Times New Roman"/>
          <w:color w:val="0000FF"/>
          <w:sz w:val="28"/>
        </w:rPr>
        <w:t xml:space="preserve">₁₂ [31], а последующая работа И. А. Стениной и соавторов расширила этот подход на </w:t>
      </w:r>
      <w:proofErr w:type="spellStart"/>
      <w:r>
        <w:rPr>
          <w:rFonts w:ascii="Times New Roman" w:hAnsi="Times New Roman"/>
          <w:color w:val="0000FF"/>
          <w:sz w:val="28"/>
        </w:rPr>
        <w:t>Li₄Ti₅O</w:t>
      </w:r>
      <w:proofErr w:type="spellEnd"/>
      <w:r>
        <w:rPr>
          <w:rFonts w:ascii="Times New Roman" w:hAnsi="Times New Roman"/>
          <w:color w:val="0000FF"/>
          <w:sz w:val="28"/>
        </w:rPr>
        <w:t xml:space="preserve">₁₂/C и </w:t>
      </w:r>
      <w:proofErr w:type="spellStart"/>
      <w:r>
        <w:rPr>
          <w:rFonts w:ascii="Times New Roman" w:hAnsi="Times New Roman"/>
          <w:color w:val="0000FF"/>
          <w:sz w:val="28"/>
        </w:rPr>
        <w:t>Li₄Ti₅O</w:t>
      </w:r>
      <w:proofErr w:type="spellEnd"/>
      <w:r>
        <w:rPr>
          <w:rFonts w:ascii="Times New Roman" w:hAnsi="Times New Roman"/>
          <w:color w:val="0000FF"/>
          <w:sz w:val="28"/>
        </w:rPr>
        <w:t>₁₂/C/Ag-композиты [32]. Для Na-</w:t>
      </w:r>
      <w:proofErr w:type="spellStart"/>
      <w:r>
        <w:rPr>
          <w:rFonts w:ascii="Times New Roman" w:hAnsi="Times New Roman"/>
          <w:color w:val="0000FF"/>
          <w:sz w:val="28"/>
        </w:rPr>
        <w:t>ion</w:t>
      </w:r>
      <w:proofErr w:type="spellEnd"/>
      <w:r>
        <w:rPr>
          <w:rFonts w:ascii="Times New Roman" w:hAnsi="Times New Roman"/>
          <w:color w:val="0000FF"/>
          <w:sz w:val="28"/>
        </w:rPr>
        <w:t xml:space="preserve"> направления С. А. Новикова, А. А. </w:t>
      </w:r>
      <w:proofErr w:type="spellStart"/>
      <w:r>
        <w:rPr>
          <w:rFonts w:ascii="Times New Roman" w:hAnsi="Times New Roman"/>
          <w:color w:val="0000FF"/>
          <w:sz w:val="28"/>
        </w:rPr>
        <w:t>Чеканников</w:t>
      </w:r>
      <w:proofErr w:type="spellEnd"/>
      <w:r>
        <w:rPr>
          <w:rFonts w:ascii="Times New Roman" w:hAnsi="Times New Roman"/>
          <w:color w:val="0000FF"/>
          <w:sz w:val="28"/>
        </w:rPr>
        <w:t xml:space="preserve">, Т. Л. Кулова,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А. Б. Ярославцев исследовали проводимость и электрохимические свойства NASICON-материалов [33], тогда как А. А. </w:t>
      </w:r>
      <w:proofErr w:type="spellStart"/>
      <w:r>
        <w:rPr>
          <w:rFonts w:ascii="Times New Roman" w:hAnsi="Times New Roman"/>
          <w:color w:val="0000FF"/>
          <w:sz w:val="28"/>
        </w:rPr>
        <w:t>Чеканников</w:t>
      </w:r>
      <w:proofErr w:type="spellEnd"/>
      <w:r>
        <w:rPr>
          <w:rFonts w:ascii="Times New Roman" w:hAnsi="Times New Roman"/>
          <w:color w:val="0000FF"/>
          <w:sz w:val="28"/>
        </w:rPr>
        <w:t xml:space="preserve">, Р. </w:t>
      </w:r>
      <w:proofErr w:type="spellStart"/>
      <w:r>
        <w:rPr>
          <w:rFonts w:ascii="Times New Roman" w:hAnsi="Times New Roman"/>
          <w:color w:val="0000FF"/>
          <w:sz w:val="28"/>
        </w:rPr>
        <w:t>Капаев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соавторы показали роль композиционной модификации </w:t>
      </w:r>
      <w:proofErr w:type="spellStart"/>
      <w:r>
        <w:rPr>
          <w:rFonts w:ascii="Times New Roman" w:hAnsi="Times New Roman"/>
          <w:color w:val="0000FF"/>
          <w:sz w:val="28"/>
        </w:rPr>
        <w:t>Na₃V</w:t>
      </w:r>
      <w:proofErr w:type="spellEnd"/>
      <w:r>
        <w:rPr>
          <w:rFonts w:ascii="Times New Roman" w:hAnsi="Times New Roman"/>
          <w:color w:val="0000FF"/>
          <w:sz w:val="28"/>
        </w:rPr>
        <w:t>₂(PO</w:t>
      </w:r>
      <w:proofErr w:type="gramStart"/>
      <w:r>
        <w:rPr>
          <w:rFonts w:ascii="Times New Roman" w:hAnsi="Times New Roman"/>
          <w:color w:val="0000FF"/>
          <w:sz w:val="28"/>
        </w:rPr>
        <w:t>₄)₃</w:t>
      </w:r>
      <w:proofErr w:type="gramEnd"/>
      <w:r>
        <w:rPr>
          <w:rFonts w:ascii="Times New Roman" w:hAnsi="Times New Roman"/>
          <w:color w:val="0000FF"/>
          <w:sz w:val="28"/>
        </w:rPr>
        <w:t>/C/Ag, в том числе с применением импедансной спектроскопии [34].</w:t>
      </w:r>
    </w:p>
    <w:p w14:paraId="7C410C47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Смежная российская линия исследований касается электролитов, межфазной стабильности и механизмов деградации. О. В. Бушкова, Т. В. Ярославцева и Ю. А. Добровольский систематизировали развитие литиевых солей и их влияние на работу высокоэнергетических систем [35]. Более современное исследование Н. С. </w:t>
      </w:r>
      <w:proofErr w:type="spellStart"/>
      <w:r>
        <w:rPr>
          <w:rFonts w:ascii="Times New Roman" w:hAnsi="Times New Roman"/>
          <w:color w:val="0000FF"/>
          <w:sz w:val="28"/>
        </w:rPr>
        <w:t>Каторовой</w:t>
      </w:r>
      <w:proofErr w:type="spellEnd"/>
      <w:r>
        <w:rPr>
          <w:rFonts w:ascii="Times New Roman" w:hAnsi="Times New Roman"/>
          <w:color w:val="0000FF"/>
          <w:sz w:val="28"/>
        </w:rPr>
        <w:t xml:space="preserve">, А. С. Галушко, А. Н. Фахрутдинова, А. М. Абакумова, В. П. </w:t>
      </w:r>
      <w:proofErr w:type="spellStart"/>
      <w:r>
        <w:rPr>
          <w:rFonts w:ascii="Times New Roman" w:hAnsi="Times New Roman"/>
          <w:color w:val="0000FF"/>
          <w:sz w:val="28"/>
        </w:rPr>
        <w:t>Ананикова</w:t>
      </w:r>
      <w:proofErr w:type="spellEnd"/>
      <w:r>
        <w:rPr>
          <w:rFonts w:ascii="Times New Roman" w:hAnsi="Times New Roman"/>
          <w:color w:val="0000FF"/>
          <w:sz w:val="28"/>
        </w:rPr>
        <w:t xml:space="preserve">, Е. В. Антипова и соавторов непосредственно рассмотрело химические механизмы деградации полноразмерной NMC622/графитовой литий-ионной ячейки после ресурсного циклирования [36]. Отдельное направление математического моделирования пористых электродов развивали Ю. Г. Чирков, В. И. </w:t>
      </w:r>
      <w:proofErr w:type="spellStart"/>
      <w:r>
        <w:rPr>
          <w:rFonts w:ascii="Times New Roman" w:hAnsi="Times New Roman"/>
          <w:color w:val="0000FF"/>
          <w:sz w:val="28"/>
        </w:rPr>
        <w:t>Ростокин</w:t>
      </w:r>
      <w:proofErr w:type="spellEnd"/>
      <w:r>
        <w:rPr>
          <w:rFonts w:ascii="Times New Roman" w:hAnsi="Times New Roman"/>
          <w:color w:val="0000FF"/>
          <w:sz w:val="28"/>
        </w:rPr>
        <w:t xml:space="preserve">,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Т. Л. Кулова; их модели связывают микроструктуру активного слоя, омические потери и электрохимическую работоспособность электрода [37]. Т. Л. Кулова и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</w:t>
      </w:r>
      <w:proofErr w:type="spellEnd"/>
      <w:r>
        <w:rPr>
          <w:rFonts w:ascii="Times New Roman" w:hAnsi="Times New Roman"/>
          <w:color w:val="0000FF"/>
          <w:sz w:val="28"/>
        </w:rPr>
        <w:t xml:space="preserve"> также показали принципиальную роль </w:t>
      </w:r>
      <w:proofErr w:type="spellStart"/>
      <w:r>
        <w:rPr>
          <w:rFonts w:ascii="Times New Roman" w:hAnsi="Times New Roman"/>
          <w:color w:val="0000FF"/>
          <w:sz w:val="28"/>
        </w:rPr>
        <w:t>межфазно</w:t>
      </w:r>
      <w:proofErr w:type="spellEnd"/>
      <w:r>
        <w:rPr>
          <w:rFonts w:ascii="Times New Roman" w:hAnsi="Times New Roman"/>
          <w:color w:val="0000FF"/>
          <w:sz w:val="28"/>
        </w:rPr>
        <w:t>-образующих электролитных добавок для литий- и натрий-ионных систем [38].</w:t>
      </w:r>
    </w:p>
    <w:p w14:paraId="6680FF05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lastRenderedPageBreak/>
        <w:t xml:space="preserve">Российская география исследований не ограничивается московскими и саратовскими коллективами. В дальневосточном направлении электрохимического материаловедения Д. П. Опра, А. И. Неумоин, С. Л. Синебрюхов, А. А. Соколов и С. В. Гнеденков исследовали гибридные анодные материалы </w:t>
      </w:r>
      <w:proofErr w:type="spellStart"/>
      <w:r>
        <w:rPr>
          <w:rFonts w:ascii="Times New Roman" w:hAnsi="Times New Roman"/>
          <w:color w:val="0000FF"/>
          <w:sz w:val="28"/>
        </w:rPr>
        <w:t>Na₂Ti₃O</w:t>
      </w:r>
      <w:proofErr w:type="spellEnd"/>
      <w:r>
        <w:rPr>
          <w:rFonts w:ascii="Times New Roman" w:hAnsi="Times New Roman"/>
          <w:color w:val="0000FF"/>
          <w:sz w:val="28"/>
        </w:rPr>
        <w:t>₇–α-</w:t>
      </w:r>
      <w:proofErr w:type="spellStart"/>
      <w:r>
        <w:rPr>
          <w:rFonts w:ascii="Times New Roman" w:hAnsi="Times New Roman"/>
          <w:color w:val="0000FF"/>
          <w:sz w:val="28"/>
        </w:rPr>
        <w:t>Fe₂O</w:t>
      </w:r>
      <w:proofErr w:type="spellEnd"/>
      <w:r>
        <w:rPr>
          <w:rFonts w:ascii="Times New Roman" w:hAnsi="Times New Roman"/>
          <w:color w:val="0000FF"/>
          <w:sz w:val="28"/>
        </w:rPr>
        <w:t>₃ для Na-</w:t>
      </w:r>
      <w:proofErr w:type="spellStart"/>
      <w:r>
        <w:rPr>
          <w:rFonts w:ascii="Times New Roman" w:hAnsi="Times New Roman"/>
          <w:color w:val="0000FF"/>
          <w:sz w:val="28"/>
        </w:rPr>
        <w:t>ion</w:t>
      </w:r>
      <w:proofErr w:type="spellEnd"/>
      <w:r>
        <w:rPr>
          <w:rFonts w:ascii="Times New Roman" w:hAnsi="Times New Roman"/>
          <w:color w:val="0000FF"/>
          <w:sz w:val="28"/>
        </w:rPr>
        <w:t xml:space="preserve"> систем [39]. В совместных работах И. А. Стениной, Л. Д. Козиной, Т. Л. Куловой,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, А. А. </w:t>
      </w:r>
      <w:proofErr w:type="spellStart"/>
      <w:r>
        <w:rPr>
          <w:rFonts w:ascii="Times New Roman" w:hAnsi="Times New Roman"/>
          <w:color w:val="0000FF"/>
          <w:sz w:val="28"/>
        </w:rPr>
        <w:t>Чеканникова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А. Б. Ярославцева установлены особенности синтеза и ионной проводимости </w:t>
      </w:r>
      <w:proofErr w:type="spellStart"/>
      <w:r>
        <w:rPr>
          <w:rFonts w:ascii="Times New Roman" w:hAnsi="Times New Roman"/>
          <w:color w:val="0000FF"/>
          <w:sz w:val="28"/>
        </w:rPr>
        <w:t>Na₂Ti₃O</w:t>
      </w:r>
      <w:proofErr w:type="spellEnd"/>
      <w:r>
        <w:rPr>
          <w:rFonts w:ascii="Times New Roman" w:hAnsi="Times New Roman"/>
          <w:color w:val="0000FF"/>
          <w:sz w:val="28"/>
        </w:rPr>
        <w:t xml:space="preserve">₇ [40]. Саратовское направление продолжено А. В. Ушаковым, К. С. Рыбаковым и А. В. </w:t>
      </w:r>
      <w:proofErr w:type="spellStart"/>
      <w:r>
        <w:rPr>
          <w:rFonts w:ascii="Times New Roman" w:hAnsi="Times New Roman"/>
          <w:color w:val="0000FF"/>
          <w:sz w:val="28"/>
        </w:rPr>
        <w:t>Хрыкиной</w:t>
      </w:r>
      <w:proofErr w:type="spellEnd"/>
      <w:r>
        <w:rPr>
          <w:rFonts w:ascii="Times New Roman" w:hAnsi="Times New Roman"/>
          <w:color w:val="0000FF"/>
          <w:sz w:val="28"/>
        </w:rPr>
        <w:t xml:space="preserve"> применительно к композиционным электродам на основе </w:t>
      </w:r>
      <w:proofErr w:type="spellStart"/>
      <w:r>
        <w:rPr>
          <w:rFonts w:ascii="Times New Roman" w:hAnsi="Times New Roman"/>
          <w:color w:val="0000FF"/>
          <w:sz w:val="28"/>
        </w:rPr>
        <w:t>Li₃V</w:t>
      </w:r>
      <w:proofErr w:type="spellEnd"/>
      <w:r>
        <w:rPr>
          <w:rFonts w:ascii="Times New Roman" w:hAnsi="Times New Roman"/>
          <w:color w:val="0000FF"/>
          <w:sz w:val="28"/>
        </w:rPr>
        <w:t>₂(PO</w:t>
      </w:r>
      <w:proofErr w:type="gramStart"/>
      <w:r>
        <w:rPr>
          <w:rFonts w:ascii="Times New Roman" w:hAnsi="Times New Roman"/>
          <w:color w:val="0000FF"/>
          <w:sz w:val="28"/>
        </w:rPr>
        <w:t>₄)₃</w:t>
      </w:r>
      <w:proofErr w:type="gramEnd"/>
      <w:r>
        <w:rPr>
          <w:rFonts w:ascii="Times New Roman" w:hAnsi="Times New Roman"/>
          <w:color w:val="0000FF"/>
          <w:sz w:val="28"/>
        </w:rPr>
        <w:t xml:space="preserve">, </w:t>
      </w:r>
      <w:proofErr w:type="spellStart"/>
      <w:r>
        <w:rPr>
          <w:rFonts w:ascii="Times New Roman" w:hAnsi="Times New Roman"/>
          <w:color w:val="0000FF"/>
          <w:sz w:val="28"/>
        </w:rPr>
        <w:t>Li₄Ti₅O</w:t>
      </w:r>
      <w:proofErr w:type="spellEnd"/>
      <w:r>
        <w:rPr>
          <w:rFonts w:ascii="Times New Roman" w:hAnsi="Times New Roman"/>
          <w:color w:val="0000FF"/>
          <w:sz w:val="28"/>
        </w:rPr>
        <w:t>₁₂ и углеродных нанотрубок, где сопоставляются состав, толщина, морфология и электрохимические свойства [41].</w:t>
      </w:r>
    </w:p>
    <w:p w14:paraId="7DC44D23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Историческая преемственность отечественной школы химических источников тока прослеживается от фундаментальной монографии В. С. </w:t>
      </w:r>
      <w:proofErr w:type="spellStart"/>
      <w:r>
        <w:rPr>
          <w:rFonts w:ascii="Times New Roman" w:hAnsi="Times New Roman"/>
          <w:color w:val="0000FF"/>
          <w:sz w:val="28"/>
        </w:rPr>
        <w:t>Багоцкого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, систематизировавшей электрохимические основы, конструкции и эксплуатационные принципы аккумуляторных систем [42]. Уральское направление материаловедения химических источников тока, представленное А. А. Кошкиной, Т. В. Ярославцевой, Н. В. Урусовой, О. Г. </w:t>
      </w:r>
      <w:proofErr w:type="spellStart"/>
      <w:r>
        <w:rPr>
          <w:rFonts w:ascii="Times New Roman" w:hAnsi="Times New Roman"/>
          <w:color w:val="0000FF"/>
          <w:sz w:val="28"/>
        </w:rPr>
        <w:t>Резницких</w:t>
      </w:r>
      <w:proofErr w:type="spellEnd"/>
      <w:r>
        <w:rPr>
          <w:rFonts w:ascii="Times New Roman" w:hAnsi="Times New Roman"/>
          <w:color w:val="0000FF"/>
          <w:sz w:val="28"/>
        </w:rPr>
        <w:t>, К. В. Нефедовой, В. Д. Журавлевым и О. В. Бушковой, развивает исследования межфазной стабильности и защитных покрытий положительных электродов [43]. В саратовской школе А. В. Чуриков и В. О. Сычева последовательно применяли гальваностатическую и потенциостатическую прерывистую титрацию для определения коэффициентов диффузии лития в шпинельных материалах [44, 45]. В совокупности эти работы расширяют российскую историографию главы от фундаментальной электрохимии и материаловедения до количественной идентификации транспорта и деградации.</w:t>
      </w:r>
    </w:p>
    <w:p w14:paraId="6ED02E40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Совокупность этих работ показывает, что отечественная научная традиция охватывает все уровни, критичные для настоящей диссертации: фундаментальную электрохимию химических источников тока, кинетику, диффузию и импедансную идентификацию, материаловедение </w:t>
      </w:r>
      <w:r>
        <w:rPr>
          <w:rFonts w:ascii="Times New Roman" w:hAnsi="Times New Roman"/>
          <w:color w:val="0000FF"/>
          <w:sz w:val="28"/>
        </w:rPr>
        <w:lastRenderedPageBreak/>
        <w:t>NMC/LFP/LTO/Na-</w:t>
      </w:r>
      <w:proofErr w:type="spellStart"/>
      <w:r>
        <w:rPr>
          <w:rFonts w:ascii="Times New Roman" w:hAnsi="Times New Roman"/>
          <w:color w:val="0000FF"/>
          <w:sz w:val="28"/>
        </w:rPr>
        <w:t>ion</w:t>
      </w:r>
      <w:proofErr w:type="spellEnd"/>
      <w:r>
        <w:rPr>
          <w:rFonts w:ascii="Times New Roman" w:hAnsi="Times New Roman"/>
          <w:color w:val="0000FF"/>
          <w:sz w:val="28"/>
        </w:rPr>
        <w:t xml:space="preserve">, межфазную химию, моделирование пористых электродов и инженерную интерпретацию характеристик. Особенно значимы взаимодополняющие направления: классическая школа химических источников тока В. С. </w:t>
      </w:r>
      <w:proofErr w:type="spellStart"/>
      <w:r>
        <w:rPr>
          <w:rFonts w:ascii="Times New Roman" w:hAnsi="Times New Roman"/>
          <w:color w:val="0000FF"/>
          <w:sz w:val="28"/>
        </w:rPr>
        <w:t>Багоцкого</w:t>
      </w:r>
      <w:proofErr w:type="spellEnd"/>
      <w:r>
        <w:rPr>
          <w:rFonts w:ascii="Times New Roman" w:hAnsi="Times New Roman"/>
          <w:color w:val="0000FF"/>
          <w:sz w:val="28"/>
        </w:rPr>
        <w:t xml:space="preserve"> —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[42]; школа ИФХЭ РАН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Т. Л. Куловой [24, 29, 37, 38]; саратовская школа А. В. Чурикова — А. В. Иванищева — А. В. Ушакова [25–28, 41, 44, 45]; направление ИОНХ РАН/МГУ/</w:t>
      </w:r>
      <w:proofErr w:type="spellStart"/>
      <w:r>
        <w:rPr>
          <w:rFonts w:ascii="Times New Roman" w:hAnsi="Times New Roman"/>
          <w:color w:val="0000FF"/>
          <w:sz w:val="28"/>
        </w:rPr>
        <w:t>Сколтех</w:t>
      </w:r>
      <w:proofErr w:type="spellEnd"/>
      <w:r>
        <w:rPr>
          <w:rFonts w:ascii="Times New Roman" w:hAnsi="Times New Roman"/>
          <w:color w:val="0000FF"/>
          <w:sz w:val="28"/>
        </w:rPr>
        <w:t>, представленное А. Б. Ярославцевым, И. А. Стениной, С. А. Новиковой, Е. В. Антиповым, С. С. Федотовым и А. М. Абакумовым [28, 30–36, 40]; а также уральское материаловедческое направление О. В. Бушковой, Т. В. Ярославцевой, В. Д. Журавлева и их соавторов [35, 43]. Для диссертационной постановки это важно не только историографически: российские работы подтверждают необходимость физически интерпретируемой параметризации, многометодной идентификации и химически специфичной нормализации диагностических признаков.</w:t>
      </w:r>
    </w:p>
    <w:p w14:paraId="438B34E0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78574E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таблицы 1.6: сравнение классов моделей является обзорной аналитической систематизацией международной и отечественной литературы по прогнозированию ресурса, физически информированным, </w:t>
      </w:r>
      <w:proofErr w:type="spellStart"/>
      <w:r>
        <w:rPr>
          <w:rFonts w:ascii="Times New Roman" w:hAnsi="Times New Roman"/>
          <w:color w:val="FF0000"/>
          <w:sz w:val="28"/>
        </w:rPr>
        <w:t>data-driven</w:t>
      </w:r>
      <w:proofErr w:type="spellEnd"/>
      <w:r>
        <w:rPr>
          <w:rFonts w:ascii="Times New Roman" w:hAnsi="Times New Roman"/>
          <w:color w:val="FF0000"/>
          <w:sz w:val="28"/>
        </w:rPr>
        <w:t xml:space="preserve">, гибридным и импедансным подходам [13, 18–23, 46–61]. Оценочные характеристики таблицы не являются результатом собственного </w:t>
      </w:r>
      <w:proofErr w:type="spellStart"/>
      <w:r>
        <w:rPr>
          <w:rFonts w:ascii="Times New Roman" w:hAnsi="Times New Roman"/>
          <w:color w:val="FF0000"/>
          <w:sz w:val="28"/>
        </w:rPr>
        <w:t>межмодельного</w:t>
      </w:r>
      <w:proofErr w:type="spellEnd"/>
      <w:r>
        <w:rPr>
          <w:rFonts w:ascii="Times New Roman" w:hAnsi="Times New Roman"/>
          <w:color w:val="FF0000"/>
          <w:sz w:val="28"/>
        </w:rPr>
        <w:t xml:space="preserve"> эксперимента.</w:t>
      </w:r>
    </w:p>
    <w:p w14:paraId="79BA34AF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Русскоязычный фундаментальный корпус отечественной школы целесообразно дополнить работами, которые задают терминологическую и физико-химическую основу всей последующей диагностики. В. С. </w:t>
      </w:r>
      <w:proofErr w:type="spellStart"/>
      <w:r>
        <w:rPr>
          <w:rFonts w:ascii="Times New Roman" w:hAnsi="Times New Roman"/>
          <w:color w:val="FF0000"/>
          <w:sz w:val="28"/>
        </w:rPr>
        <w:t>Багоцкий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в монографии «Основы электрохимии» систематизировал термодинамику и кинетику электродных процессов [46]; школа Б. Б. Дамаскина — О. А. </w:t>
      </w:r>
      <w:proofErr w:type="spellStart"/>
      <w:r>
        <w:rPr>
          <w:rFonts w:ascii="Times New Roman" w:hAnsi="Times New Roman"/>
          <w:color w:val="FF0000"/>
          <w:sz w:val="28"/>
        </w:rPr>
        <w:t>Петрия</w:t>
      </w:r>
      <w:proofErr w:type="spellEnd"/>
      <w:r>
        <w:rPr>
          <w:rFonts w:ascii="Times New Roman" w:hAnsi="Times New Roman"/>
          <w:color w:val="FF0000"/>
          <w:sz w:val="28"/>
        </w:rPr>
        <w:t xml:space="preserve"> — Г. А. </w:t>
      </w:r>
      <w:proofErr w:type="spellStart"/>
      <w:r>
        <w:rPr>
          <w:rFonts w:ascii="Times New Roman" w:hAnsi="Times New Roman"/>
          <w:color w:val="FF0000"/>
          <w:sz w:val="28"/>
        </w:rPr>
        <w:t>Цирлиной</w:t>
      </w:r>
      <w:proofErr w:type="spellEnd"/>
      <w:r>
        <w:rPr>
          <w:rFonts w:ascii="Times New Roman" w:hAnsi="Times New Roman"/>
          <w:color w:val="FF0000"/>
          <w:sz w:val="28"/>
        </w:rPr>
        <w:t xml:space="preserve"> развила строгий аппарат современной электрохимии [47]. Инженерная линия химических источников тока представлена справочником под редакцией Н. В. Коровина и А. М. </w:t>
      </w:r>
      <w:proofErr w:type="spellStart"/>
      <w:r>
        <w:rPr>
          <w:rFonts w:ascii="Times New Roman" w:hAnsi="Times New Roman"/>
          <w:color w:val="FF0000"/>
          <w:sz w:val="28"/>
        </w:rPr>
        <w:t>Скундина</w:t>
      </w:r>
      <w:proofErr w:type="spellEnd"/>
      <w:r>
        <w:rPr>
          <w:rFonts w:ascii="Times New Roman" w:hAnsi="Times New Roman"/>
          <w:color w:val="FF0000"/>
          <w:sz w:val="28"/>
        </w:rPr>
        <w:t xml:space="preserve"> [48], монографией Н. В. Коровина </w:t>
      </w:r>
      <w:r>
        <w:rPr>
          <w:rFonts w:ascii="Times New Roman" w:hAnsi="Times New Roman"/>
          <w:color w:val="FF0000"/>
          <w:sz w:val="28"/>
        </w:rPr>
        <w:lastRenderedPageBreak/>
        <w:t xml:space="preserve">по электрохимической энергетике [49], книгой И. А. </w:t>
      </w:r>
      <w:proofErr w:type="spellStart"/>
      <w:r>
        <w:rPr>
          <w:rFonts w:ascii="Times New Roman" w:hAnsi="Times New Roman"/>
          <w:color w:val="FF0000"/>
          <w:sz w:val="28"/>
        </w:rPr>
        <w:t>Кедринского</w:t>
      </w:r>
      <w:proofErr w:type="spellEnd"/>
      <w:r>
        <w:rPr>
          <w:rFonts w:ascii="Times New Roman" w:hAnsi="Times New Roman"/>
          <w:color w:val="FF0000"/>
          <w:sz w:val="28"/>
        </w:rPr>
        <w:t xml:space="preserve">, В. Е. Дмитриенко и </w:t>
      </w:r>
      <w:proofErr w:type="spellStart"/>
      <w:r>
        <w:rPr>
          <w:rFonts w:ascii="Times New Roman" w:hAnsi="Times New Roman"/>
          <w:color w:val="FF0000"/>
          <w:sz w:val="28"/>
        </w:rPr>
        <w:t>И</w:t>
      </w:r>
      <w:proofErr w:type="spellEnd"/>
      <w:r>
        <w:rPr>
          <w:rFonts w:ascii="Times New Roman" w:hAnsi="Times New Roman"/>
          <w:color w:val="FF0000"/>
          <w:sz w:val="28"/>
        </w:rPr>
        <w:t xml:space="preserve">. И. </w:t>
      </w:r>
      <w:proofErr w:type="spellStart"/>
      <w:r>
        <w:rPr>
          <w:rFonts w:ascii="Times New Roman" w:hAnsi="Times New Roman"/>
          <w:color w:val="FF0000"/>
          <w:sz w:val="28"/>
        </w:rPr>
        <w:t>Грудянова</w:t>
      </w:r>
      <w:proofErr w:type="spellEnd"/>
      <w:r>
        <w:rPr>
          <w:rFonts w:ascii="Times New Roman" w:hAnsi="Times New Roman"/>
          <w:color w:val="FF0000"/>
          <w:sz w:val="28"/>
        </w:rPr>
        <w:t xml:space="preserve"> по литиевым источникам тока [50], справочником А. А. </w:t>
      </w:r>
      <w:proofErr w:type="spellStart"/>
      <w:r>
        <w:rPr>
          <w:rFonts w:ascii="Times New Roman" w:hAnsi="Times New Roman"/>
          <w:color w:val="FF0000"/>
          <w:sz w:val="28"/>
        </w:rPr>
        <w:t>Тагановой</w:t>
      </w:r>
      <w:proofErr w:type="spellEnd"/>
      <w:r>
        <w:rPr>
          <w:rFonts w:ascii="Times New Roman" w:hAnsi="Times New Roman"/>
          <w:color w:val="FF0000"/>
          <w:sz w:val="28"/>
        </w:rPr>
        <w:t xml:space="preserve">, Ю. И. Бубнова и С. Б. Орлова [51]. Для импедансной методологии принципиальное значение имеет русскоязычная монография З. Б. </w:t>
      </w:r>
      <w:proofErr w:type="spellStart"/>
      <w:r>
        <w:rPr>
          <w:rFonts w:ascii="Times New Roman" w:hAnsi="Times New Roman"/>
          <w:color w:val="FF0000"/>
          <w:sz w:val="28"/>
        </w:rPr>
        <w:t>Стойнова</w:t>
      </w:r>
      <w:proofErr w:type="spellEnd"/>
      <w:r>
        <w:rPr>
          <w:rFonts w:ascii="Times New Roman" w:hAnsi="Times New Roman"/>
          <w:color w:val="FF0000"/>
          <w:sz w:val="28"/>
        </w:rPr>
        <w:t>, Б. М. Графова, Б. Савовой-</w:t>
      </w:r>
      <w:proofErr w:type="spellStart"/>
      <w:r>
        <w:rPr>
          <w:rFonts w:ascii="Times New Roman" w:hAnsi="Times New Roman"/>
          <w:color w:val="FF0000"/>
          <w:sz w:val="28"/>
        </w:rPr>
        <w:t>Стойновой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и В. В. Елкина «Электрохимический импеданс» [52], а современную учебную систематизацию химических источников тока дают О. А. </w:t>
      </w:r>
      <w:proofErr w:type="spellStart"/>
      <w:r>
        <w:rPr>
          <w:rFonts w:ascii="Times New Roman" w:hAnsi="Times New Roman"/>
          <w:color w:val="FF0000"/>
          <w:sz w:val="28"/>
        </w:rPr>
        <w:t>Козадеров</w:t>
      </w:r>
      <w:proofErr w:type="spellEnd"/>
      <w:r>
        <w:rPr>
          <w:rFonts w:ascii="Times New Roman" w:hAnsi="Times New Roman"/>
          <w:color w:val="FF0000"/>
          <w:sz w:val="28"/>
        </w:rPr>
        <w:t xml:space="preserve"> и А. В. Введенский [53].</w:t>
      </w:r>
    </w:p>
    <w:p w14:paraId="7784063F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Историческая линия именно литиевых и </w:t>
      </w:r>
      <w:proofErr w:type="spellStart"/>
      <w:r>
        <w:rPr>
          <w:rFonts w:ascii="Times New Roman" w:hAnsi="Times New Roman"/>
          <w:color w:val="FF0000"/>
          <w:sz w:val="28"/>
        </w:rPr>
        <w:t>постлитиевых</w:t>
      </w:r>
      <w:proofErr w:type="spellEnd"/>
      <w:r>
        <w:rPr>
          <w:rFonts w:ascii="Times New Roman" w:hAnsi="Times New Roman"/>
          <w:color w:val="FF0000"/>
          <w:sz w:val="28"/>
        </w:rPr>
        <w:t xml:space="preserve"> систем также должна быть представлена русскоязычными публикациями. В. С. </w:t>
      </w:r>
      <w:proofErr w:type="spellStart"/>
      <w:r>
        <w:rPr>
          <w:rFonts w:ascii="Times New Roman" w:hAnsi="Times New Roman"/>
          <w:color w:val="FF0000"/>
          <w:sz w:val="28"/>
        </w:rPr>
        <w:t>Багоцкий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и А. М. </w:t>
      </w:r>
      <w:proofErr w:type="spellStart"/>
      <w:r>
        <w:rPr>
          <w:rFonts w:ascii="Times New Roman" w:hAnsi="Times New Roman"/>
          <w:color w:val="FF0000"/>
          <w:sz w:val="28"/>
        </w:rPr>
        <w:t>Скундин</w:t>
      </w:r>
      <w:proofErr w:type="spellEnd"/>
      <w:r>
        <w:rPr>
          <w:rFonts w:ascii="Times New Roman" w:hAnsi="Times New Roman"/>
          <w:color w:val="FF0000"/>
          <w:sz w:val="28"/>
        </w:rPr>
        <w:t xml:space="preserve"> сформулировали ключевые проблемы литиевых источников тока ещё в середине 1990-х гг. [54]; А. М. </w:t>
      </w:r>
      <w:proofErr w:type="spellStart"/>
      <w:r>
        <w:rPr>
          <w:rFonts w:ascii="Times New Roman" w:hAnsi="Times New Roman"/>
          <w:color w:val="FF0000"/>
          <w:sz w:val="28"/>
        </w:rPr>
        <w:t>Скундин</w:t>
      </w:r>
      <w:proofErr w:type="spellEnd"/>
      <w:r>
        <w:rPr>
          <w:rFonts w:ascii="Times New Roman" w:hAnsi="Times New Roman"/>
          <w:color w:val="FF0000"/>
          <w:sz w:val="28"/>
        </w:rPr>
        <w:t xml:space="preserve"> позднее систематизировал состояние, проблемы и перспективы литий-ионных аккумуляторов [55], а совместно с О. Н. Ефимовым и О. В. Ярмоленко дал развёрнутый обзор перспектив развития литиевых аккумуляторов [56]. Переход отечественной школы к </w:t>
      </w:r>
      <w:proofErr w:type="spellStart"/>
      <w:r>
        <w:rPr>
          <w:rFonts w:ascii="Times New Roman" w:hAnsi="Times New Roman"/>
          <w:color w:val="FF0000"/>
          <w:sz w:val="28"/>
        </w:rPr>
        <w:t>постлитиевым</w:t>
      </w:r>
      <w:proofErr w:type="spellEnd"/>
      <w:r>
        <w:rPr>
          <w:rFonts w:ascii="Times New Roman" w:hAnsi="Times New Roman"/>
          <w:color w:val="FF0000"/>
          <w:sz w:val="28"/>
        </w:rPr>
        <w:t xml:space="preserve"> системам хорошо прослеживается в обзоре Т. Л. Куловой и А. М. </w:t>
      </w:r>
      <w:proofErr w:type="spellStart"/>
      <w:r>
        <w:rPr>
          <w:rFonts w:ascii="Times New Roman" w:hAnsi="Times New Roman"/>
          <w:color w:val="FF0000"/>
          <w:sz w:val="28"/>
        </w:rPr>
        <w:t>Скундина</w:t>
      </w:r>
      <w:proofErr w:type="spellEnd"/>
      <w:r>
        <w:rPr>
          <w:rFonts w:ascii="Times New Roman" w:hAnsi="Times New Roman"/>
          <w:color w:val="FF0000"/>
          <w:sz w:val="28"/>
        </w:rPr>
        <w:t xml:space="preserve"> «От литий-ионных к натрий-ионным аккумуляторам» [57].</w:t>
      </w:r>
    </w:p>
    <w:p w14:paraId="1EF095A7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Отдельный русскоязычный блок непосредственно поддерживает импедансную диагностику и связь спектра с техническим состоянием. М. С. Липкин, Е. В. </w:t>
      </w:r>
      <w:proofErr w:type="spellStart"/>
      <w:r>
        <w:rPr>
          <w:rFonts w:ascii="Times New Roman" w:hAnsi="Times New Roman"/>
          <w:color w:val="FF0000"/>
          <w:sz w:val="28"/>
        </w:rPr>
        <w:t>Корбова</w:t>
      </w:r>
      <w:proofErr w:type="spellEnd"/>
      <w:r>
        <w:rPr>
          <w:rFonts w:ascii="Times New Roman" w:hAnsi="Times New Roman"/>
          <w:color w:val="FF0000"/>
          <w:sz w:val="28"/>
        </w:rPr>
        <w:t xml:space="preserve">, М. В. Луковкин, Т. В. Липкина и А. В. Семенкова рассмотрели диагностику литий-ионных аккумуляторов методами электрохимического импеданса [58]. А. Г. Попов, Н. В. Ерёмин, Н. А. Мозговой и В. А. Пиджаков систематизировали спектроскопию электрохимического импеданса применительно к литиевым источникам тока [59]. Дальневосточная школа С. В. </w:t>
      </w:r>
      <w:proofErr w:type="spellStart"/>
      <w:r>
        <w:rPr>
          <w:rFonts w:ascii="Times New Roman" w:hAnsi="Times New Roman"/>
          <w:color w:val="FF0000"/>
          <w:sz w:val="28"/>
        </w:rPr>
        <w:t>Гнеденкова</w:t>
      </w:r>
      <w:proofErr w:type="spellEnd"/>
      <w:r>
        <w:rPr>
          <w:rFonts w:ascii="Times New Roman" w:hAnsi="Times New Roman"/>
          <w:color w:val="FF0000"/>
          <w:sz w:val="28"/>
        </w:rPr>
        <w:t xml:space="preserve"> — С. Л. Синебрюхова показала диагностические возможности импедансной спектроскопии при исследовании процессов переноса заряда [60], а В. В. Галкин, Е. В. Ланина и Н. В. </w:t>
      </w:r>
      <w:proofErr w:type="spellStart"/>
      <w:r>
        <w:rPr>
          <w:rFonts w:ascii="Times New Roman" w:hAnsi="Times New Roman"/>
          <w:color w:val="FF0000"/>
          <w:sz w:val="28"/>
        </w:rPr>
        <w:t>Шельдешов</w:t>
      </w:r>
      <w:proofErr w:type="spellEnd"/>
      <w:r>
        <w:rPr>
          <w:rFonts w:ascii="Times New Roman" w:hAnsi="Times New Roman"/>
          <w:color w:val="FF0000"/>
          <w:sz w:val="28"/>
        </w:rPr>
        <w:t xml:space="preserve"> связали изменение электрохимических характеристик литий-ионного аккумулятора после деградации с параметрами электродной структуры и внутренним сопротивлением [61]. Эти русскоязычные работы усиливают преемственность </w:t>
      </w:r>
      <w:r>
        <w:rPr>
          <w:rFonts w:ascii="Times New Roman" w:hAnsi="Times New Roman"/>
          <w:color w:val="FF0000"/>
          <w:sz w:val="28"/>
        </w:rPr>
        <w:lastRenderedPageBreak/>
        <w:t>главы от фундаментальной отечественной электрохимии к практической диагностике аккумуляторных систем.</w:t>
      </w:r>
    </w:p>
    <w:p w14:paraId="0EA9D767" w14:textId="77777777" w:rsidR="00932DD5" w:rsidRPr="00EC4694" w:rsidRDefault="00B021FE" w:rsidP="003451A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Таблица 1.6 —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:rsidRPr="00103F9F" w14:paraId="61BDB0AD" w14:textId="77777777" w:rsidTr="00103F9F">
        <w:tc>
          <w:tcPr>
            <w:tcW w:w="2187" w:type="dxa"/>
            <w:vAlign w:val="center"/>
          </w:tcPr>
          <w:p w14:paraId="24B93295" w14:textId="77777777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Класс моделей</w:t>
            </w:r>
          </w:p>
        </w:tc>
        <w:tc>
          <w:tcPr>
            <w:tcW w:w="2289" w:type="dxa"/>
            <w:vAlign w:val="center"/>
          </w:tcPr>
          <w:p w14:paraId="6FD63F64" w14:textId="77777777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Основная идея</w:t>
            </w:r>
          </w:p>
        </w:tc>
        <w:tc>
          <w:tcPr>
            <w:tcW w:w="2586" w:type="dxa"/>
            <w:vAlign w:val="center"/>
          </w:tcPr>
          <w:p w14:paraId="094AC130" w14:textId="77777777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Сильные стороны</w:t>
            </w:r>
          </w:p>
        </w:tc>
        <w:tc>
          <w:tcPr>
            <w:tcW w:w="2565" w:type="dxa"/>
            <w:vAlign w:val="center"/>
          </w:tcPr>
          <w:p w14:paraId="13E20A9C" w14:textId="77777777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Основные ограничения</w:t>
            </w:r>
          </w:p>
        </w:tc>
      </w:tr>
      <w:tr w:rsidR="00BD58F0" w:rsidRPr="00103F9F" w14:paraId="7A6C6A29" w14:textId="77777777" w:rsidTr="00103F9F">
        <w:tc>
          <w:tcPr>
            <w:tcW w:w="2187" w:type="dxa"/>
            <w:vAlign w:val="center"/>
          </w:tcPr>
          <w:p w14:paraId="452FCAEB" w14:textId="77777777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Эмпирические</w:t>
            </w:r>
          </w:p>
        </w:tc>
        <w:tc>
          <w:tcPr>
            <w:tcW w:w="2289" w:type="dxa"/>
            <w:vAlign w:val="center"/>
          </w:tcPr>
          <w:p w14:paraId="55886CB1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Аппроксимация траектории деградации</w:t>
            </w:r>
          </w:p>
        </w:tc>
        <w:tc>
          <w:tcPr>
            <w:tcW w:w="2586" w:type="dxa"/>
            <w:vAlign w:val="center"/>
          </w:tcPr>
          <w:p w14:paraId="6DBE9B8A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Простота, малая вычислительная нагрузка</w:t>
            </w:r>
          </w:p>
        </w:tc>
        <w:tc>
          <w:tcPr>
            <w:tcW w:w="2565" w:type="dxa"/>
            <w:vAlign w:val="center"/>
          </w:tcPr>
          <w:p w14:paraId="4461E3C9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Слабая переносимость между режимами</w:t>
            </w:r>
          </w:p>
        </w:tc>
      </w:tr>
      <w:tr w:rsidR="00BD58F0" w:rsidRPr="00103F9F" w14:paraId="41A9D745" w14:textId="77777777" w:rsidTr="00103F9F">
        <w:tc>
          <w:tcPr>
            <w:tcW w:w="2187" w:type="dxa"/>
            <w:vAlign w:val="center"/>
          </w:tcPr>
          <w:p w14:paraId="2C31A66D" w14:textId="77777777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Физико</w:t>
            </w:r>
            <w:proofErr w:type="spellEnd"/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химические</w:t>
            </w:r>
          </w:p>
        </w:tc>
        <w:tc>
          <w:tcPr>
            <w:tcW w:w="2289" w:type="dxa"/>
            <w:vAlign w:val="center"/>
          </w:tcPr>
          <w:p w14:paraId="07CA5D12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Явное описание механизмов старения</w:t>
            </w:r>
          </w:p>
        </w:tc>
        <w:tc>
          <w:tcPr>
            <w:tcW w:w="2586" w:type="dxa"/>
            <w:vAlign w:val="center"/>
          </w:tcPr>
          <w:p w14:paraId="79613B3A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Высокая интерпретируемость</w:t>
            </w:r>
          </w:p>
        </w:tc>
        <w:tc>
          <w:tcPr>
            <w:tcW w:w="2565" w:type="dxa"/>
            <w:vAlign w:val="center"/>
          </w:tcPr>
          <w:p w14:paraId="222A090C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Сложная параметризация, вычислительная тяжесть</w:t>
            </w:r>
          </w:p>
        </w:tc>
      </w:tr>
      <w:tr w:rsidR="00BD58F0" w:rsidRPr="00103F9F" w14:paraId="05CCA21C" w14:textId="77777777" w:rsidTr="00103F9F">
        <w:tc>
          <w:tcPr>
            <w:tcW w:w="2187" w:type="dxa"/>
            <w:vAlign w:val="center"/>
          </w:tcPr>
          <w:p w14:paraId="2BB4379A" w14:textId="77777777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Фильтрационные / </w:t>
            </w:r>
            <w:proofErr w:type="spellStart"/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observer</w:t>
            </w:r>
            <w:proofErr w:type="spellEnd"/>
          </w:p>
        </w:tc>
        <w:tc>
          <w:tcPr>
            <w:tcW w:w="2289" w:type="dxa"/>
            <w:vAlign w:val="center"/>
          </w:tcPr>
          <w:p w14:paraId="3BC5D800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FF"/>
                <w:sz w:val="24"/>
              </w:rPr>
              <w:t>Последовательная онлайн-оценка скрытых состояний</w:t>
            </w:r>
          </w:p>
        </w:tc>
        <w:tc>
          <w:tcPr>
            <w:tcW w:w="2586" w:type="dxa"/>
            <w:vAlign w:val="center"/>
          </w:tcPr>
          <w:p w14:paraId="2FFC55A9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Хорошая совместимость с BMS</w:t>
            </w:r>
          </w:p>
        </w:tc>
        <w:tc>
          <w:tcPr>
            <w:tcW w:w="2565" w:type="dxa"/>
            <w:vAlign w:val="center"/>
          </w:tcPr>
          <w:p w14:paraId="7E6F102E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Сильная зависимость от базовой модели</w:t>
            </w:r>
          </w:p>
        </w:tc>
      </w:tr>
      <w:tr w:rsidR="00BD58F0" w:rsidRPr="00103F9F" w14:paraId="75868FFD" w14:textId="77777777" w:rsidTr="00103F9F">
        <w:tc>
          <w:tcPr>
            <w:tcW w:w="2187" w:type="dxa"/>
            <w:vAlign w:val="center"/>
          </w:tcPr>
          <w:p w14:paraId="1673C725" w14:textId="77777777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ML / DL</w:t>
            </w:r>
          </w:p>
        </w:tc>
        <w:tc>
          <w:tcPr>
            <w:tcW w:w="2289" w:type="dxa"/>
            <w:vAlign w:val="center"/>
          </w:tcPr>
          <w:p w14:paraId="72AB880B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Обучение нелинейных зависимостей по данным</w:t>
            </w:r>
          </w:p>
        </w:tc>
        <w:tc>
          <w:tcPr>
            <w:tcW w:w="2586" w:type="dxa"/>
            <w:vAlign w:val="center"/>
          </w:tcPr>
          <w:p w14:paraId="398EF147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Высокая </w:t>
            </w:r>
            <w:proofErr w:type="spellStart"/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аппроксимационная</w:t>
            </w:r>
            <w:proofErr w:type="spellEnd"/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гибкость</w:t>
            </w:r>
          </w:p>
        </w:tc>
        <w:tc>
          <w:tcPr>
            <w:tcW w:w="2565" w:type="dxa"/>
            <w:vAlign w:val="center"/>
          </w:tcPr>
          <w:p w14:paraId="3BCAFE32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Высокие требования к данным, ограниченная интерпретируемость</w:t>
            </w:r>
          </w:p>
        </w:tc>
      </w:tr>
      <w:tr w:rsidR="00BD58F0" w:rsidRPr="00103F9F" w14:paraId="4D4C68A1" w14:textId="77777777" w:rsidTr="00103F9F">
        <w:tc>
          <w:tcPr>
            <w:tcW w:w="2187" w:type="dxa"/>
            <w:vAlign w:val="center"/>
          </w:tcPr>
          <w:p w14:paraId="464ED638" w14:textId="77777777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Гибридные</w:t>
            </w:r>
          </w:p>
        </w:tc>
        <w:tc>
          <w:tcPr>
            <w:tcW w:w="2289" w:type="dxa"/>
            <w:vAlign w:val="center"/>
          </w:tcPr>
          <w:p w14:paraId="597CFF2E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Сочетание физики и </w:t>
            </w:r>
            <w:proofErr w:type="spellStart"/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</w:t>
            </w:r>
            <w:proofErr w:type="spellEnd"/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driven</w:t>
            </w:r>
            <w:proofErr w:type="spellEnd"/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блока</w:t>
            </w:r>
          </w:p>
        </w:tc>
        <w:tc>
          <w:tcPr>
            <w:tcW w:w="2586" w:type="dxa"/>
            <w:vAlign w:val="center"/>
          </w:tcPr>
          <w:p w14:paraId="2B566393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Баланс точности и интерпретируемости</w:t>
            </w:r>
          </w:p>
        </w:tc>
        <w:tc>
          <w:tcPr>
            <w:tcW w:w="2565" w:type="dxa"/>
            <w:vAlign w:val="center"/>
          </w:tcPr>
          <w:p w14:paraId="2C36CC67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Сложность настройки и верификации</w:t>
            </w:r>
          </w:p>
        </w:tc>
      </w:tr>
      <w:tr w:rsidR="00BD58F0" w:rsidRPr="00103F9F" w14:paraId="5647EDE5" w14:textId="77777777" w:rsidTr="00103F9F">
        <w:tc>
          <w:tcPr>
            <w:tcW w:w="2187" w:type="dxa"/>
            <w:vAlign w:val="center"/>
          </w:tcPr>
          <w:p w14:paraId="0756C0D5" w14:textId="77777777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Импедансные</w:t>
            </w:r>
          </w:p>
        </w:tc>
        <w:tc>
          <w:tcPr>
            <w:tcW w:w="2289" w:type="dxa"/>
            <w:vAlign w:val="center"/>
          </w:tcPr>
          <w:p w14:paraId="263064C7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Использование </w:t>
            </w:r>
            <w:r w:rsidR="00167FA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ЭИС</w:t>
            </w: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признаков как маркеров старения</w:t>
            </w:r>
          </w:p>
        </w:tc>
        <w:tc>
          <w:tcPr>
            <w:tcW w:w="2586" w:type="dxa"/>
            <w:vAlign w:val="center"/>
          </w:tcPr>
          <w:p w14:paraId="2996DF04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  <w:vAlign w:val="center"/>
          </w:tcPr>
          <w:p w14:paraId="1BF66330" w14:textId="7777777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FF"/>
                <w:sz w:val="24"/>
              </w:rPr>
              <w:t>Трудности быстрого измерения и оперативной интерпретации</w:t>
            </w:r>
          </w:p>
        </w:tc>
      </w:tr>
    </w:tbl>
    <w:p w14:paraId="207E52A5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353F5C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Многокритериальное сопоставление классов моделей по интерпретируемости, возможности онлайн-реализации, требованиям к данным, ранней чувствительности и устойчивости к сложным режимам визуализировано на рисунке 1.14. Оценки на рисунке являются нормированной аналитической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шкалой для структурирования обзора, а не результатом метаанализа опубликованных метрик.</w:t>
      </w:r>
    </w:p>
    <w:p w14:paraId="7ACC87D5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83E74D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рисунка 1.14: график представляет нормированную аналитическую визуализацию критериев, сведённых в таблице 1.6, и выводов литературы по моделям SOH/RUL [13, 18–23, 46–61]. Баллы являются обзорной шкалой, а не результатом независимого метаанализа опубликованных ошибок.</w:t>
      </w:r>
    </w:p>
    <w:p w14:paraId="464D1E42" w14:textId="77777777" w:rsidR="00BD58F0" w:rsidRDefault="00DE3D9A" w:rsidP="003451A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1D82C06B">
            <wp:extent cx="5601394" cy="2987675"/>
            <wp:effectExtent l="0" t="0" r="0" b="3175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 rotWithShape="1">
                    <a:blip r:embed="rId1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11" cy="2993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EA70A" w14:textId="77777777" w:rsidR="00DE3D9A" w:rsidRPr="00DE3D9A" w:rsidRDefault="00DE3D9A" w:rsidP="003451A7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1.14 — Сравнение классов моделей прогнозирования остаточного ресурса</w:t>
      </w:r>
    </w:p>
    <w:p w14:paraId="56AAF509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обзорная аналитическая систематизация критериев и литературы [13, 18–23, 46–61].</w:t>
      </w:r>
    </w:p>
    <w:p w14:paraId="77874244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062F67" w14:textId="77777777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На рисунке 1.14 показаны характерные компромиссы между классами методов. Эмпирические модели компактны, но слабо переносятся за область идентификации; детальные физические модели интерпретируемы, но ресурсоёмки; модели на данных гибки, но зависят от распределения выборки; гибридные и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импедансно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-ориентированные подходы потенциально объединяют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раннюю чувствительность и физическую интерпретацию. Численные баллы служат только сравнительной визуализацией принятой системы критериев.</w:t>
      </w:r>
    </w:p>
    <w:p w14:paraId="57555044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Методическое значение рисунка 1.14 состоит в обосновании выбора архитектуры, а не в доказательстве превосходства конкретного алгоритма. Диссертационная стратегия поэтому строится как физически мотивированная импедансная модель с последующей статистической калибровкой и обязательным сравнением с более простыми базовыми методами.</w:t>
      </w:r>
    </w:p>
    <w:p w14:paraId="7EF53656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 xml:space="preserve">Различия траекторий для линейной, физически мотивированной и гибридной аппроксимаций иллюстрируются на рисунке 1.15. Рисунок является модельной демонстрацией различий функциональной формы и не представляет собственную экспериментальную </w:t>
      </w:r>
      <w:proofErr w:type="spellStart"/>
      <w:r>
        <w:rPr>
          <w:rFonts w:ascii="Times New Roman" w:hAnsi="Times New Roman"/>
          <w:color w:val="FF0000"/>
          <w:sz w:val="28"/>
        </w:rPr>
        <w:t>деградационную</w:t>
      </w:r>
      <w:proofErr w:type="spellEnd"/>
      <w:r>
        <w:rPr>
          <w:rFonts w:ascii="Times New Roman" w:hAnsi="Times New Roman"/>
          <w:color w:val="FF0000"/>
          <w:sz w:val="28"/>
        </w:rPr>
        <w:t xml:space="preserve"> серию или независимый </w:t>
      </w:r>
      <w:proofErr w:type="spellStart"/>
      <w:r>
        <w:rPr>
          <w:rFonts w:ascii="Times New Roman" w:hAnsi="Times New Roman"/>
          <w:color w:val="FF0000"/>
          <w:sz w:val="28"/>
        </w:rPr>
        <w:t>benchmark</w:t>
      </w:r>
      <w:proofErr w:type="spellEnd"/>
      <w:r>
        <w:rPr>
          <w:rFonts w:ascii="Times New Roman" w:hAnsi="Times New Roman"/>
          <w:color w:val="FF0000"/>
          <w:sz w:val="28"/>
        </w:rPr>
        <w:t>.</w:t>
      </w:r>
    </w:p>
    <w:p w14:paraId="20328831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9F7885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1.15: траектории являются иллюстративной модельной реконструкцией характерных линейных и нелинейных форм </w:t>
      </w:r>
      <w:r>
        <w:rPr>
          <w:rFonts w:ascii="Times New Roman" w:hAnsi="Times New Roman"/>
          <w:color w:val="FF0000"/>
          <w:sz w:val="28"/>
        </w:rPr>
        <w:lastRenderedPageBreak/>
        <w:t>деградации, обсуждаемых в литературе по прогнозированию ресурса [13, 18–23]. Рисунок не представляет собственную экспериментальную ресурсную серию.</w:t>
      </w:r>
    </w:p>
    <w:p w14:paraId="79DF7369" w14:textId="77777777" w:rsidR="00D07C8B" w:rsidRDefault="00C23DEF" w:rsidP="003451A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2D0B1008">
            <wp:extent cx="5610225" cy="3169747"/>
            <wp:effectExtent l="0" t="0" r="0" b="0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053" cy="317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B6EF8" w14:textId="77777777" w:rsidR="00C23DEF" w:rsidRDefault="00772E97" w:rsidP="003451A7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 xml:space="preserve">Рисунок 1.15 — Иллюстративное сопоставление </w:t>
      </w:r>
      <w:proofErr w:type="spellStart"/>
      <w:r>
        <w:rPr>
          <w:rFonts w:ascii="Times New Roman" w:hAnsi="Times New Roman"/>
          <w:color w:val="FF0000"/>
          <w:sz w:val="28"/>
        </w:rPr>
        <w:t>деградационной</w:t>
      </w:r>
      <w:proofErr w:type="spellEnd"/>
      <w:r>
        <w:rPr>
          <w:rFonts w:ascii="Times New Roman" w:hAnsi="Times New Roman"/>
          <w:color w:val="FF0000"/>
          <w:sz w:val="28"/>
        </w:rPr>
        <w:t xml:space="preserve"> траектории и модельных аппроксимаций</w:t>
      </w:r>
    </w:p>
    <w:p w14:paraId="2ABCE242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 xml:space="preserve">Источник: иллюстративная модельная реконструкция типовой </w:t>
      </w:r>
      <w:proofErr w:type="spellStart"/>
      <w:r>
        <w:rPr>
          <w:rFonts w:ascii="Times New Roman" w:hAnsi="Times New Roman"/>
          <w:color w:val="FF0000"/>
          <w:sz w:val="24"/>
        </w:rPr>
        <w:t>деградационной</w:t>
      </w:r>
      <w:proofErr w:type="spellEnd"/>
      <w:r>
        <w:rPr>
          <w:rFonts w:ascii="Times New Roman" w:hAnsi="Times New Roman"/>
          <w:color w:val="FF0000"/>
          <w:sz w:val="24"/>
        </w:rPr>
        <w:t xml:space="preserve"> траектории по [13, 18–23]; не является собственной экспериментальной серией.</w:t>
      </w:r>
    </w:p>
    <w:p w14:paraId="2B40C05D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208713" w14:textId="77777777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8"/>
        </w:rPr>
        <w:t xml:space="preserve">На рисунке 1.15 сопоставлены схематизированная </w:t>
      </w:r>
      <w:proofErr w:type="spellStart"/>
      <w:r>
        <w:rPr>
          <w:rFonts w:ascii="Times New Roman" w:hAnsi="Times New Roman"/>
          <w:color w:val="FF0000"/>
          <w:sz w:val="28"/>
        </w:rPr>
        <w:t>деградационная</w:t>
      </w:r>
      <w:proofErr w:type="spellEnd"/>
      <w:r>
        <w:rPr>
          <w:rFonts w:ascii="Times New Roman" w:hAnsi="Times New Roman"/>
          <w:color w:val="FF0000"/>
          <w:sz w:val="28"/>
        </w:rPr>
        <w:t xml:space="preserve"> траектория и несколько типов аппроксимации. Линейная форма хуже воспроизводит изменение кривизны на поздней стадии, тогда как нелинейные формы обладают большей структурной гибкостью. Это качественная иллюстрация; количественное утверждение о точности допустимо только после расчёта единых метрик на независимой тестовой выборке.</w:t>
      </w:r>
    </w:p>
    <w:p w14:paraId="70EAD531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Научный вывод из рисунка 1.15 состоит в необходимости моделировать изменение скорости деградации, а не экстраполировать постоянный наклон. Практический вывод — включить линейную модель как обязательную базовую модель сравнения и проверять, даёт ли более сложная импедансная схема статистически и практически значимое снижение ошибки RUL.</w:t>
      </w:r>
    </w:p>
    <w:p w14:paraId="7C01AB3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lastRenderedPageBreak/>
        <w:t xml:space="preserve">Дополнительное сравнительное представление ожидаемой прогностической ошибки классов моделей приведено на рисунке 1.16. Его численные значения трактуются как нормированная аналитическая иллюстрация принятой сравнительной шкалы, а не как результаты независимого </w:t>
      </w:r>
      <w:proofErr w:type="spellStart"/>
      <w:r>
        <w:rPr>
          <w:rFonts w:ascii="Times New Roman" w:hAnsi="Times New Roman"/>
          <w:color w:val="0000FF"/>
          <w:sz w:val="28"/>
        </w:rPr>
        <w:t>межисследовательского</w:t>
      </w:r>
      <w:proofErr w:type="spellEnd"/>
      <w:r>
        <w:rPr>
          <w:rFonts w:ascii="Times New Roman" w:hAnsi="Times New Roman"/>
          <w:color w:val="0000FF"/>
          <w:sz w:val="28"/>
        </w:rPr>
        <w:t xml:space="preserve"> сравнительного теста.</w:t>
      </w:r>
    </w:p>
    <w:p w14:paraId="671244E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EA4FB9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рисунка 1.16: диаграмма представляет нормированную аналитическую иллюстрацию сравнительных свойств классов моделей по обзору [13, 18–23]. Численные индексы не являются опубликованными универсальными процентами MAE/RMSE и не должны трактоваться как результат метаанализа.</w:t>
      </w:r>
    </w:p>
    <w:p w14:paraId="32014513" w14:textId="77777777" w:rsidR="006565E1" w:rsidRDefault="00FE5D03" w:rsidP="003451A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294F8EE">
            <wp:extent cx="5563072" cy="2856865"/>
            <wp:effectExtent l="0" t="0" r="0" b="635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 rotWithShape="1"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952" cy="2864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3ADB6" w14:textId="77777777" w:rsidR="00FE5D03" w:rsidRPr="00EC4694" w:rsidRDefault="00FE5D03" w:rsidP="003451A7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1.16 — Нормированное аналитическое сопоставление прогностической ошибки классов моделей</w:t>
      </w:r>
    </w:p>
    <w:p w14:paraId="6EEC07B7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нормированная аналитическая иллюстрация сравнительных свойств моделей по [13, 18–23]; численные индексы не являются результатом метаанализа.</w:t>
      </w:r>
    </w:p>
    <w:p w14:paraId="6FF0E732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E262C7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На рисунке 1.16 меньший нормированный уровень соответствует более высокой ожидаемой эффективности в принятой системе критериев. Эти значения нельзя интерпретировать как универсальные проценты ошибки для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соответствующих классов: фактическая MAE/RMSE/RUL-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error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зависит от набора данных, горизонта прогноза, определения конца ресурса и протокола валидации.</w:t>
      </w:r>
    </w:p>
    <w:p w14:paraId="12F41847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Функция рисунка 1.16 — сформулировать проверяемое направление исследования. В последующих главах преимущество </w:t>
      </w:r>
      <w:proofErr w:type="spellStart"/>
      <w:r>
        <w:rPr>
          <w:rFonts w:ascii="Times New Roman" w:hAnsi="Times New Roman"/>
          <w:color w:val="0000FF"/>
          <w:sz w:val="28"/>
        </w:rPr>
        <w:t>импедансно</w:t>
      </w:r>
      <w:proofErr w:type="spellEnd"/>
      <w:r>
        <w:rPr>
          <w:rFonts w:ascii="Times New Roman" w:hAnsi="Times New Roman"/>
          <w:color w:val="0000FF"/>
          <w:sz w:val="28"/>
        </w:rPr>
        <w:t>-ориентированного подхода должно подтверждаться не экспертной шкалой, а едиными метриками, доверительными интервалами и сравнением с заранее определёнными базовыми моделями.</w:t>
      </w:r>
    </w:p>
    <w:p w14:paraId="3954272C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Итак, ни один класс методов априори не обеспечивает одновременно физическую интерпретируемость, раннюю чувствительность, низкую вычислительную сложность и переносимость. Обзор обосновывает рабочую гипотезу о преимуществе редуцированных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импедансно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-ориентированных и гибридных схем для тяговых режимов, но не подменяет её экспериментальную проверку. Именно проверяемое объединение Z(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>), режимной нормализации, оценки состояния и прогноза RUL формирует предмет дальнейшего исследования.</w:t>
      </w:r>
    </w:p>
    <w:p w14:paraId="6C6F927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536E2D" w14:textId="77777777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2213E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1.6 Выявленные научные проблемы и постановка задач исследования</w:t>
      </w:r>
    </w:p>
    <w:p w14:paraId="0EB660A2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A5E7BE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Проведённый анализ показывает, что отдельные компоненты задачи развиты существенно лучше, чем их интеграция: существуют физические модели деградации, методы SOH/RUL-оценивания, ЭИС-диагностика и BMS-алгоритмы, но их объединение в единую компактную схему для нестационарной тяговой эксплуатации остаётся методически неоднородным. Поэтому научная задача состоит не в введении ещё одного частного индикатора, а в формализации перехода «измерение импеданса → параметры → состояние → скорость деградации → RUL».</w:t>
      </w:r>
    </w:p>
    <w:p w14:paraId="48B8230A" w14:textId="77777777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lastRenderedPageBreak/>
        <w:t>Системно проблема расположена между тремя уровнями: фундаментальными электрохимическими моделями, лабораторной импедансной диагностикой и инженерными алгоритмами BMS. Встроенная ЭИС (</w:t>
      </w:r>
      <w:proofErr w:type="spellStart"/>
      <w:r>
        <w:rPr>
          <w:rFonts w:ascii="Times New Roman" w:hAnsi="Times New Roman"/>
          <w:color w:val="0000FF"/>
          <w:sz w:val="28"/>
        </w:rPr>
        <w:t>onboard</w:t>
      </w:r>
      <w:proofErr w:type="spellEnd"/>
      <w:r>
        <w:rPr>
          <w:rFonts w:ascii="Times New Roman" w:hAnsi="Times New Roman"/>
          <w:color w:val="0000FF"/>
          <w:sz w:val="28"/>
        </w:rPr>
        <w:t xml:space="preserve"> EIS) демонстрирует реализуемость импедансных измерений непосредственно в составе системы управления, однако требует ограниченного времени измерения и сокращённого спектрального диапазона [15, 16]; лабораторные методы, напротив, дают более полную физическую информацию, но не всегда непосредственно переносятся в эксплуатационный контур.</w:t>
      </w:r>
    </w:p>
    <w:p w14:paraId="5B250741" w14:textId="77777777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Противоречие усиливается при нестационарной нагрузке: классическая ЭИС предполагает локально стационарную рабочую точку, тогда как тяговая батарея непрерывно изменяет ток, SOC и температуру. Динамическая ЭИС (</w:t>
      </w:r>
      <w:proofErr w:type="spellStart"/>
      <w:r>
        <w:rPr>
          <w:rFonts w:ascii="Times New Roman" w:hAnsi="Times New Roman"/>
          <w:color w:val="0000FF"/>
          <w:sz w:val="28"/>
        </w:rPr>
        <w:t>dynamic</w:t>
      </w:r>
      <w:proofErr w:type="spellEnd"/>
      <w:r>
        <w:rPr>
          <w:rFonts w:ascii="Times New Roman" w:hAnsi="Times New Roman"/>
          <w:color w:val="0000FF"/>
          <w:sz w:val="28"/>
        </w:rPr>
        <w:t xml:space="preserve"> EIS) направлена на измерение импедансного отклика при изменяющейся рабочей точке, но требует дополнительных условий идентифицируемости и компенсации её дрейфа [17].</w:t>
      </w:r>
    </w:p>
    <w:p w14:paraId="36943389" w14:textId="77777777" w:rsidR="00932DD5" w:rsidRPr="00EC4694" w:rsidRDefault="0089562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Отечественная литература подтверждает, что данный разрыв сформировался не вследствие отсутствия фундаментальных результатов, а вследствие недостаточной интеграции уже развитых направлений. Классическая школа В. С. </w:t>
      </w:r>
      <w:proofErr w:type="spellStart"/>
      <w:r>
        <w:rPr>
          <w:rFonts w:ascii="Times New Roman" w:hAnsi="Times New Roman"/>
          <w:color w:val="0000FF"/>
          <w:sz w:val="28"/>
        </w:rPr>
        <w:t>Багоцкого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сформировала системное представление о химических источниках тока [42]; импедансная школа А. М. </w:t>
      </w:r>
      <w:proofErr w:type="spellStart"/>
      <w:r>
        <w:rPr>
          <w:rFonts w:ascii="Times New Roman" w:hAnsi="Times New Roman"/>
          <w:color w:val="0000FF"/>
          <w:sz w:val="28"/>
        </w:rPr>
        <w:t>Скундина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Т. Л. Куловой — физическую интерпретацию спектральных составляющих [24, 29, 38]; саратовская школа А. В. Чурикова, А. В. Иванищева, В. О. Сычевой и А. В. Ушакова — методическую базу многометодной идентификации кинетики и диффузии [25–28, 41, 44, 45]. Работы А. Б. Ярославцева, И. А. Стениной, С. А. Новиковой, А. А. </w:t>
      </w:r>
      <w:proofErr w:type="spellStart"/>
      <w:r>
        <w:rPr>
          <w:rFonts w:ascii="Times New Roman" w:hAnsi="Times New Roman"/>
          <w:color w:val="0000FF"/>
          <w:sz w:val="28"/>
        </w:rPr>
        <w:t>Чеканникова</w:t>
      </w:r>
      <w:proofErr w:type="spellEnd"/>
      <w:r>
        <w:rPr>
          <w:rFonts w:ascii="Times New Roman" w:hAnsi="Times New Roman"/>
          <w:color w:val="0000FF"/>
          <w:sz w:val="28"/>
        </w:rPr>
        <w:t>, Е. В. Антипова, С. С. Федотова, О. В. Бушковой, Т. В. Ярославцевой и В. Д. Журавлева расширяют эту базу на химически различные литий- и натрий-ионные материалы и межфазные процессы [28, 30–36, 40, 43]. Поэтому задача настоящей диссертации заключается прежде всего в объединении этих физических результатов с динамической диагностикой и прогнозом RUL в тяговых режимах.</w:t>
      </w:r>
    </w:p>
    <w:p w14:paraId="6E89F053" w14:textId="77777777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В результате возникает центральное противоречие диссертации: физически информативные спектральные признаки доступны, но их прямое использование в инженерном прогнозе осложнено режимной зависимостью, ограниченным измерительным временем и химической спецификой. Современные методы раннего прогноза подтверждают потенциал спектральных и геометрических признаков, однако не устраняют необходимость физической нормализации и независимой верификации переносимости [20, 21].</w:t>
      </w:r>
    </w:p>
    <w:p w14:paraId="3CD58D06" w14:textId="77777777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Структура этого исследовательского разрыва представлена на рисунке 1.17. Схема локализует не всю проблематику диагностики батарей, а конкретный недостаточно интегрированный участок — переход от динамически доступных параметров Z(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>) к SOH, скорости деградации и RUL в тяговой эксплуатации.</w:t>
      </w:r>
    </w:p>
    <w:p w14:paraId="678FF62B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1.17: схема является интегративной обзорной компоновкой научного разрыва, полученной путём синтеза международных и российских исследований по ЭИС, BMS, диагностике и прогнозированию </w:t>
      </w:r>
      <w:r>
        <w:rPr>
          <w:rFonts w:ascii="Times New Roman" w:hAnsi="Times New Roman"/>
          <w:color w:val="FF0000"/>
          <w:sz w:val="28"/>
        </w:rPr>
        <w:lastRenderedPageBreak/>
        <w:t>ресурса [12, 15–17, 20–23, 24–61]. Она не заимствована целиком из одной публикации.</w:t>
      </w:r>
    </w:p>
    <w:p w14:paraId="18E3CB68" w14:textId="77777777" w:rsidR="008D2C3D" w:rsidRDefault="001308B4" w:rsidP="003451A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6E4401" wp14:editId="0FAE0C40">
            <wp:extent cx="4293870" cy="2874645"/>
            <wp:effectExtent l="0" t="0" r="0" b="1905"/>
            <wp:docPr id="10260932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870" cy="287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F0AF4" w14:textId="77777777" w:rsidR="008B31A9" w:rsidRPr="00AC77B7" w:rsidRDefault="008B31A9" w:rsidP="003451A7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545418FE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интегративная обзорная схема, синтезирующая результаты [12, 15–17, 20–23, 24–61]; не является заимствованием одного рисунка.</w:t>
      </w:r>
    </w:p>
    <w:p w14:paraId="394FA6E9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C2FBEE" w14:textId="77777777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 рисунке 1.17 три методически развитых уровня — фундаментальное моделирование, лабораторная ЭИС и BMS — сходятся к общему разрыву. Для фундаментальных моделей характерна высокая детализация; для лабораторной ЭИС — широкий спектр и контролируемые условия; для BMS — жёсткие ограничения по времени, измерениям и вычислениям. Предмет диссертационного исследования расположен на интерфейсе этих уровней.</w:t>
      </w:r>
    </w:p>
    <w:p w14:paraId="3647B7A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Научное значение рисунка 1.17 состоит в точной локализации предмета исследования: требуется не замена существующих подходов, а формализованный и экспериментально проверяемый переход от сокращённого набора импедансных признаков к оценкам технического состояния и RUL при изменяющихся режимах. Практическое значение — задание архитектуры дальнейших глав: модель импеданса → идентификация параметров → режимная нормализация →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диагностика → оценка скорости деградации → прогноз ресурса с неопределённостью.</w:t>
      </w:r>
    </w:p>
    <w:p w14:paraId="785D1B24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E72AFE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4B32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1.6.1 Основные научные проблемы</w:t>
      </w:r>
    </w:p>
    <w:p w14:paraId="0D690FF1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9556D6" w14:textId="77777777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Первая научная проблема состоит в недостаточной формализации общего перехода от динамического комплексного импеданса к состоянию и ресурсу. Целевая структура отображения задаётся формулой (1.46): Z(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>) → SOH(t), Z(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>) → RUL(t). Формула (1.46) является постановкой задачи настоящей работы, а не известным универсальным законом [12, 20, 21].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06A2D309" w14:textId="77777777" w:rsidTr="0060495B">
        <w:tc>
          <w:tcPr>
            <w:tcW w:w="2410" w:type="dxa"/>
            <w:vAlign w:val="center"/>
          </w:tcPr>
          <w:p w14:paraId="063111C2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382F3EE" w14:textId="77777777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077" type="#_x0000_t75" style="width:90.75pt;height:15.75pt" o:ole="">
                  <v:imagedata r:id="rId130" o:title=""/>
                </v:shape>
                <o:OLEObject Type="Embed" ProgID="Equation.DSMT4" ShapeID="_x0000_i1077" DrawAspect="Content" ObjectID="_1847949861" r:id="rId131"/>
              </w:object>
            </w:r>
            <w:r w:rsidRPr="00902F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078" type="#_x0000_t75" style="width:88.5pt;height:15.75pt" o:ole="">
                  <v:imagedata r:id="rId132" o:title=""/>
                </v:shape>
                <o:OLEObject Type="Embed" ProgID="Equation.DSMT4" ShapeID="_x0000_i1078" DrawAspect="Content" ObjectID="_1847949862" r:id="rId133"/>
              </w:object>
            </w:r>
          </w:p>
        </w:tc>
        <w:tc>
          <w:tcPr>
            <w:tcW w:w="3209" w:type="dxa"/>
            <w:vAlign w:val="center"/>
          </w:tcPr>
          <w:p w14:paraId="71D4AAA1" w14:textId="77777777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14:paraId="2F86AD27" w14:textId="77777777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Требуется установить условия, при которых это отображение идентифицируемо и устойчиво к изменению T, SOC, нагрузки и химии, а также определить, какие спектральные признаки дают дополнительную прогностическую информацию относительно базовых электрических показателей.</w:t>
      </w:r>
    </w:p>
    <w:p w14:paraId="5CAD8370" w14:textId="77777777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Вторая проблема — ограниченная переносимость моделей между режимами и типами элементов. Современные физически информированные и гибридные методы предлагают механизмы объединения физических ограничений с данными, однако их преимущество определяется качеством исходной модели, полнотой данных и протоколом валидации [22, 23]. Для диссертации это означает необходимость проверки </w:t>
      </w:r>
      <w:proofErr w:type="spellStart"/>
      <w:r>
        <w:rPr>
          <w:rFonts w:ascii="Times New Roman" w:hAnsi="Times New Roman"/>
          <w:color w:val="0000FF"/>
          <w:sz w:val="28"/>
        </w:rPr>
        <w:t>межрежимного</w:t>
      </w:r>
      <w:proofErr w:type="spellEnd"/>
      <w:r>
        <w:rPr>
          <w:rFonts w:ascii="Times New Roman" w:hAnsi="Times New Roman"/>
          <w:color w:val="0000FF"/>
          <w:sz w:val="28"/>
        </w:rPr>
        <w:t xml:space="preserve"> переноса, а не только </w:t>
      </w:r>
      <w:proofErr w:type="spellStart"/>
      <w:r>
        <w:rPr>
          <w:rFonts w:ascii="Times New Roman" w:hAnsi="Times New Roman"/>
          <w:color w:val="0000FF"/>
          <w:sz w:val="28"/>
        </w:rPr>
        <w:t>внутривыборочной</w:t>
      </w:r>
      <w:proofErr w:type="spellEnd"/>
      <w:r>
        <w:rPr>
          <w:rFonts w:ascii="Times New Roman" w:hAnsi="Times New Roman"/>
          <w:color w:val="0000FF"/>
          <w:sz w:val="28"/>
        </w:rPr>
        <w:t xml:space="preserve"> точности.</w:t>
      </w:r>
    </w:p>
    <w:p w14:paraId="07984A77" w14:textId="77777777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Третья проблема — ранняя диагностика деградации. Ёмкостный SOH может изменяться медленнее некоторых импедансных признаков, а конец полезной эксплуатации может определяться также снижением допустимой мощности и тепловыми ограничениями [12, 13]. Поэтому требуется количественно проверить, повышают ли </w:t>
      </w:r>
      <w:proofErr w:type="spellStart"/>
      <w:r>
        <w:rPr>
          <w:rFonts w:ascii="Times New Roman" w:hAnsi="Times New Roman"/>
          <w:color w:val="0000FF"/>
          <w:sz w:val="28"/>
        </w:rPr>
        <w:t>Rct</w:t>
      </w:r>
      <w:proofErr w:type="spellEnd"/>
      <w:r>
        <w:rPr>
          <w:rFonts w:ascii="Times New Roman" w:hAnsi="Times New Roman"/>
          <w:color w:val="0000FF"/>
          <w:sz w:val="28"/>
        </w:rPr>
        <w:t>, RΩ и диффузионные признаки раннюю чувствительность прогноза относительно базовой ёмкостной модели.</w:t>
      </w:r>
    </w:p>
    <w:p w14:paraId="786D647C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lastRenderedPageBreak/>
        <w:t>Четвёртая проблема — ограниченная применимость полного стационарного ЭИС-протокола в транспортной BMS. Встроенная и динамическая ЭИС требуют компромисса между шириной спектра, временем измерения и устойчивостью оценки [15–17]. Следовательно, сокращённый частотный протокол должен быть результатом оптимизации информативности, а не произвольного выбора нескольких частот.</w:t>
      </w:r>
    </w:p>
    <w:p w14:paraId="17B4DE2A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Пятая проблема — унификация структуры модели при сохранении химической специфики. Для NMC, LFP, LTO и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ожидаются различные базовые уровни и траектории импеданса, поэтому переносимость должна пониматься как сохранение математической архитектуры при повторной идентификации ограниченного набора химически специфичных коэффициентов. Сводное сопоставление проблем и требуемых решений приведено в таблице 1.7.</w:t>
      </w:r>
    </w:p>
    <w:p w14:paraId="10BBA124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21982E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Происхождение таблицы 1.7: научные проблемы и направления решения сформулированы как результат перекрёстного анализа рассмотренных в главе фундаментальных, диагностических и прогностических работ [12, 13, 15–23, 24–61]. Таблица представляет итог обзорной главы, а не экспериментальную выборку.</w:t>
      </w:r>
    </w:p>
    <w:p w14:paraId="68D7D5BB" w14:textId="77777777" w:rsidR="00192726" w:rsidRPr="00AC77B7" w:rsidRDefault="00192726" w:rsidP="003451A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Таблица 1.7 —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:rsidRPr="002E505A" w14:paraId="15C6D732" w14:textId="77777777" w:rsidTr="002E505A">
        <w:tc>
          <w:tcPr>
            <w:tcW w:w="3209" w:type="dxa"/>
            <w:vAlign w:val="center"/>
          </w:tcPr>
          <w:p w14:paraId="3B2F498A" w14:textId="77777777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Выявленная проблема</w:t>
            </w:r>
          </w:p>
        </w:tc>
        <w:tc>
          <w:tcPr>
            <w:tcW w:w="3209" w:type="dxa"/>
            <w:vAlign w:val="center"/>
          </w:tcPr>
          <w:p w14:paraId="20250E79" w14:textId="77777777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Проявление в существующих исследованиях</w:t>
            </w:r>
          </w:p>
        </w:tc>
        <w:tc>
          <w:tcPr>
            <w:tcW w:w="3209" w:type="dxa"/>
            <w:vAlign w:val="center"/>
          </w:tcPr>
          <w:p w14:paraId="48A8FB8B" w14:textId="77777777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Требуемое направление решения</w:t>
            </w:r>
          </w:p>
        </w:tc>
      </w:tr>
      <w:tr w:rsidR="00084EA8" w:rsidRPr="002E505A" w14:paraId="30F79FA7" w14:textId="77777777" w:rsidTr="002E505A">
        <w:tc>
          <w:tcPr>
            <w:tcW w:w="3209" w:type="dxa"/>
            <w:vAlign w:val="center"/>
          </w:tcPr>
          <w:p w14:paraId="083A4886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Нет единой связи между 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Start"/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ω,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t</w:t>
            </w:r>
            <w:proofErr w:type="gramEnd"/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), 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SOH</w:t>
            </w: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 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RUL</w:t>
            </w:r>
          </w:p>
        </w:tc>
        <w:tc>
          <w:tcPr>
            <w:tcW w:w="3209" w:type="dxa"/>
            <w:vAlign w:val="center"/>
          </w:tcPr>
          <w:p w14:paraId="3EFCE85D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Диагностика и прогноз часто разобщены</w:t>
            </w:r>
          </w:p>
        </w:tc>
        <w:tc>
          <w:tcPr>
            <w:tcW w:w="3209" w:type="dxa"/>
            <w:vAlign w:val="center"/>
          </w:tcPr>
          <w:p w14:paraId="076B0DA8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Построение объединённой </w:t>
            </w:r>
            <w:proofErr w:type="spellStart"/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диагностико</w:t>
            </w:r>
            <w:proofErr w:type="spellEnd"/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-прогностической модели</w:t>
            </w:r>
          </w:p>
        </w:tc>
      </w:tr>
      <w:tr w:rsidR="00084EA8" w:rsidRPr="002E505A" w14:paraId="7A00EC3C" w14:textId="77777777" w:rsidTr="002E505A">
        <w:tc>
          <w:tcPr>
            <w:tcW w:w="3209" w:type="dxa"/>
            <w:vAlign w:val="center"/>
          </w:tcPr>
          <w:p w14:paraId="26B4974C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  <w:vAlign w:val="center"/>
          </w:tcPr>
          <w:p w14:paraId="791CF8FA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  <w:vAlign w:val="center"/>
          </w:tcPr>
          <w:p w14:paraId="67887BC4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Включение режимных и химически специфичных параметров</w:t>
            </w:r>
          </w:p>
        </w:tc>
      </w:tr>
      <w:tr w:rsidR="00084EA8" w:rsidRPr="002E505A" w14:paraId="770A1D1F" w14:textId="77777777" w:rsidTr="002E505A">
        <w:tc>
          <w:tcPr>
            <w:tcW w:w="3209" w:type="dxa"/>
            <w:vAlign w:val="center"/>
          </w:tcPr>
          <w:p w14:paraId="1073B86E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Недостаточная ранняя чувствительность ёмкостных критериев</w:t>
            </w:r>
          </w:p>
        </w:tc>
        <w:tc>
          <w:tcPr>
            <w:tcW w:w="3209" w:type="dxa"/>
            <w:vAlign w:val="center"/>
          </w:tcPr>
          <w:p w14:paraId="4277068A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Рост импеданса начинается раньше выраженного </w:t>
            </w:r>
            <w:proofErr w:type="spellStart"/>
            <w:r w:rsidRPr="009534B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capacity</w:t>
            </w:r>
            <w:proofErr w:type="spellEnd"/>
            <w:r w:rsidRPr="009534B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534B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fade</w:t>
            </w:r>
            <w:proofErr w:type="spellEnd"/>
          </w:p>
        </w:tc>
        <w:tc>
          <w:tcPr>
            <w:tcW w:w="3209" w:type="dxa"/>
            <w:vAlign w:val="center"/>
          </w:tcPr>
          <w:p w14:paraId="6B42A6E9" w14:textId="777777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Использование </w:t>
            </w:r>
            <w:proofErr w:type="spellStart"/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ct</w:t>
            </w:r>
            <w:proofErr w:type="spellEnd"/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diff</w:t>
            </w:r>
            <w:proofErr w:type="spellEnd"/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Ω</w:t>
            </w: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как ресурсных признаков</w:t>
            </w:r>
          </w:p>
        </w:tc>
      </w:tr>
      <w:tr w:rsidR="00084EA8" w:rsidRPr="002E505A" w14:paraId="29477A6D" w14:textId="77777777" w:rsidTr="002E505A">
        <w:tc>
          <w:tcPr>
            <w:tcW w:w="3209" w:type="dxa"/>
            <w:vAlign w:val="center"/>
          </w:tcPr>
          <w:p w14:paraId="5A0C1E6E" w14:textId="77777777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Сложность применения классической </w:t>
            </w:r>
            <w:r w:rsidR="00167FA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ЭИС</w:t>
            </w: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в BMS</w:t>
            </w:r>
          </w:p>
        </w:tc>
        <w:tc>
          <w:tcPr>
            <w:tcW w:w="3209" w:type="dxa"/>
            <w:vAlign w:val="center"/>
          </w:tcPr>
          <w:p w14:paraId="1DF838A8" w14:textId="77777777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  <w:vAlign w:val="center"/>
          </w:tcPr>
          <w:p w14:paraId="56A23E93" w14:textId="77777777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2E505A" w14:paraId="05C0E8C8" w14:textId="77777777" w:rsidTr="002E505A">
        <w:tc>
          <w:tcPr>
            <w:tcW w:w="3209" w:type="dxa"/>
            <w:vAlign w:val="center"/>
          </w:tcPr>
          <w:p w14:paraId="36306617" w14:textId="77777777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Слабая унификация по химическим системам</w:t>
            </w:r>
          </w:p>
        </w:tc>
        <w:tc>
          <w:tcPr>
            <w:tcW w:w="3209" w:type="dxa"/>
            <w:vAlign w:val="center"/>
          </w:tcPr>
          <w:p w14:paraId="79C9468F" w14:textId="77777777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  <w:vAlign w:val="center"/>
          </w:tcPr>
          <w:p w14:paraId="39A4E3B8" w14:textId="77777777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Формирование адаптивной, но общей структуры модели</w:t>
            </w:r>
          </w:p>
        </w:tc>
      </w:tr>
    </w:tbl>
    <w:p w14:paraId="54AEF973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A4A4D7" w14:textId="77777777" w:rsidR="006D6714" w:rsidRPr="00BE43FE" w:rsidRDefault="006D6714" w:rsidP="006D6714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Таблица 1.7 показывает, что требуемый результат имеет системный характер: необходимо одновременно обеспечить физическую интерпретируемость признаков, режимную нормализацию, раннюю чувствительность, вычислительную компактность и проверяемую переносимость. Тем самым научная новизна будущего решения определяется не отдельной формулой, а согласованной архитектурой этих компонентов и её экспериментальной верификацией.</w:t>
      </w:r>
    </w:p>
    <w:p w14:paraId="6254B3CE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82CEA9" w14:textId="77777777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7E5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1.6.2 Формализация научной гипотезы в терминах главы 1</w:t>
      </w:r>
    </w:p>
    <w:p w14:paraId="433F07A8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157ED6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По результатам анализа формулируется проверяемая научная гипотеза: после нормализации по температуре, SOC и режиму ограниченный набор параметров комплексного импеданса содержит дополнительную информацию о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деградационном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состоянии, позволяющую повысить раннюю чувствительность и/или снизить ошибку прогноза RUL относительно базовых моделей, использующих только ёмкость и стандартные эксплуатационные сигналы. Гипотеза считается подтверждённой только при воспроизводимом эффекте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на независимых данных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 и при сохранении структуры модели для NMC, LFP, LTO и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 химически специфичной калибровкой.</w:t>
      </w:r>
    </w:p>
    <w:p w14:paraId="27AFCA8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lastRenderedPageBreak/>
        <w:t>В математической форме диагностический и прогностический уровни гипотезы задаются отображениями (1.47) и (1.48). Эти формулы являются авторской постановкой модели и задают состав аргументов, а не предопределяют конкретный вид функций.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4B8F6238" w14:textId="77777777" w:rsidTr="004A01C4">
        <w:tc>
          <w:tcPr>
            <w:tcW w:w="2401" w:type="dxa"/>
            <w:vAlign w:val="center"/>
          </w:tcPr>
          <w:p w14:paraId="1DF9A7BD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0DA4B975" w14:textId="77777777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079" type="#_x0000_t75" style="width:188.25pt;height:19.5pt" o:ole="">
                  <v:imagedata r:id="rId134" o:title=""/>
                </v:shape>
                <o:OLEObject Type="Embed" ProgID="Equation.DSMT4" ShapeID="_x0000_i1079" DrawAspect="Content" ObjectID="_1847949863" r:id="rId135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036B6F09" w14:textId="77777777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(1.47)</w:t>
            </w:r>
          </w:p>
        </w:tc>
      </w:tr>
      <w:tr w:rsidR="004A01C4" w14:paraId="1A0315D0" w14:textId="77777777" w:rsidTr="004A01C4">
        <w:tc>
          <w:tcPr>
            <w:tcW w:w="2401" w:type="dxa"/>
            <w:vAlign w:val="center"/>
          </w:tcPr>
          <w:p w14:paraId="56B7CFCA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64AB633B" w14:textId="77777777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080" type="#_x0000_t75" style="width:147.75pt;height:33.75pt" o:ole="">
                  <v:imagedata r:id="rId136" o:title=""/>
                </v:shape>
                <o:OLEObject Type="Embed" ProgID="Equation.DSMT4" ShapeID="_x0000_i1080" DrawAspect="Content" ObjectID="_1847949864" r:id="rId137"/>
              </w:objec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1E0AA906" w14:textId="77777777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(1.48)</w:t>
            </w:r>
          </w:p>
        </w:tc>
      </w:tr>
    </w:tbl>
    <w:p w14:paraId="03687CBF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В (1.47)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Φ(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·) — диагностическое отображение; D — вектор/координата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состояния; Z(</w:t>
      </w:r>
      <w:proofErr w:type="spellStart"/>
      <w:proofErr w:type="gramStart"/>
      <w:r>
        <w:rPr>
          <w:rFonts w:ascii="Times New Roman" w:eastAsia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) — измеренный комплексный импеданс; T — температура; SOC — состояние заряда;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chem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— код/набор параметров химической системы. В (1.48) </w:t>
      </w:r>
      <w:proofErr w:type="gramStart"/>
      <w:r>
        <w:rPr>
          <w:rFonts w:ascii="Times New Roman" w:eastAsia="Times New Roman" w:hAnsi="Times New Roman"/>
          <w:color w:val="0000FF"/>
          <w:sz w:val="28"/>
        </w:rPr>
        <w:t>Ψ(</w:t>
      </w:r>
      <w:proofErr w:type="gramEnd"/>
      <w:r>
        <w:rPr>
          <w:rFonts w:ascii="Times New Roman" w:eastAsia="Times New Roman" w:hAnsi="Times New Roman"/>
          <w:color w:val="0000FF"/>
          <w:sz w:val="28"/>
        </w:rPr>
        <w:t xml:space="preserve">·) — прогностическое отображение; Ḋ — скорость изменения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деградационного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состояния; I и «режим» характеризуют будущую/заданную нагрузку. Конкретные структуры Φ и Ψ, их параметры и неопределённость должны быть идентифицированы в последующих главах.</w:t>
      </w:r>
    </w:p>
    <w:p w14:paraId="5A8656FE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C44389" w14:textId="77777777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15A4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1.6.3 Постановка задач исследования</w:t>
      </w:r>
    </w:p>
    <w:p w14:paraId="7A5FC2DF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C3D8A0" w14:textId="77777777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Для проверки сформулированной гипотезы и устранения выявленного научного разрыва поставлены следующие задачи.</w:t>
      </w:r>
    </w:p>
    <w:p w14:paraId="625A5674" w14:textId="77777777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1. Разработать физически интерпретируемую и идентифицируемую модель комплексного импеданса тяговой аккумуляторной батареи, согласованную с выбранной эквивалентной схемой и учитывающую RΩ,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диффузионный вклад, температуру, SOC и химическую систему.</w:t>
      </w:r>
    </w:p>
    <w:p w14:paraId="3EB3824C" w14:textId="77777777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2. Установить количественные зависимости между параметрами импеданса и показателями технического состояния, оценить их чувствительность, доверительные интервалы и взаимную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 xml:space="preserve">идентифицируемость, в том числе связь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Rct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>, диффузионных признаков и SOH.</w:t>
      </w:r>
    </w:p>
    <w:p w14:paraId="079A7581" w14:textId="77777777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3. Построить режимно и химически адаптивную модель 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деградационной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динамики, связывающую скорость изменения импедансных параметров с температурой, токовой нагрузкой, SOC-окном и накопленным воздействием.</w:t>
      </w:r>
    </w:p>
    <w:p w14:paraId="4B9A8BD0" w14:textId="77777777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4. Разработать метод прогнозирования RUL по импедансным признакам и сравнить его на едином тестовом протоколе с заранее заданными базовыми моделями; оценить ошибку, смещение, раннюю чувствительность и прогностическую неопределённость.</w:t>
      </w:r>
    </w:p>
    <w:p w14:paraId="02F27C03" w14:textId="77777777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5. Сформировать сокращённый частотный протокол для экспресс-диагностики, выбрав частоты по критериям информативности и устойчивости идентификации при ограниченном времени измерения, и оценить пригодность протокола для BMS-реализации.</w:t>
      </w:r>
    </w:p>
    <w:p w14:paraId="2B8C4393" w14:textId="77777777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6. Провести экспериментальную верификацию разработанной архитектуры на исследуемых NMC, LFP, LTO и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системах с раздельной калибровкой и независимой проверкой; определить границы применимости и условия переноса между режимами и химическими системами.</w:t>
      </w:r>
    </w:p>
    <w:p w14:paraId="3F0938FE" w14:textId="77777777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Последовательность решения задач и место каждого вычислительного уровня показаны на рисунке 1.18. В отличие от прямой регрессии «сигнал → RUL», предлагаемая логика сохраняет промежуточные физически интерпретируемые состояния и позволяет контролировать источник ошибки на каждом этапе.</w:t>
      </w:r>
    </w:p>
    <w:p w14:paraId="5FDC49E7" w14:textId="77777777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0C16C2" w14:textId="77777777" w:rsidR="00740A8D" w:rsidRDefault="00000000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Происхождение рисунка 1.18: схема представляет методическую компоновку последовательности «измерение — идентификация — диагностика </w:t>
      </w:r>
      <w:r>
        <w:rPr>
          <w:rFonts w:ascii="Times New Roman" w:hAnsi="Times New Roman"/>
          <w:color w:val="FF0000"/>
          <w:sz w:val="28"/>
        </w:rPr>
        <w:lastRenderedPageBreak/>
        <w:t>— скорость деградации — RUL», сформированную по результатам обзорного анализа [12, 13, 15–23, 46–61] и адаптированную к постановке задач диссертации.</w:t>
      </w:r>
    </w:p>
    <w:p w14:paraId="67D1E345" w14:textId="77777777" w:rsidR="008F35AC" w:rsidRDefault="00887D7B" w:rsidP="006D6714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75BACCE1">
            <wp:extent cx="5647334" cy="863024"/>
            <wp:effectExtent l="0" t="0" r="0" b="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 rotWithShape="1">
                    <a:blip r:embed="rId1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96" b="25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788" cy="865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08C340" w14:textId="77777777" w:rsidR="004A2D5A" w:rsidRDefault="004A2D5A" w:rsidP="006D671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Рисунок 1.18 — Логика </w:t>
      </w:r>
      <w:proofErr w:type="spellStart"/>
      <w:r>
        <w:rPr>
          <w:rFonts w:ascii="Times New Roman" w:hAnsi="Times New Roman"/>
          <w:color w:val="0000FF"/>
          <w:sz w:val="28"/>
        </w:rPr>
        <w:t>диагностико</w:t>
      </w:r>
      <w:proofErr w:type="spellEnd"/>
      <w:r>
        <w:rPr>
          <w:rFonts w:ascii="Times New Roman" w:hAnsi="Times New Roman"/>
          <w:color w:val="0000FF"/>
          <w:sz w:val="28"/>
        </w:rPr>
        <w:t>-прогностического контура исследования</w:t>
      </w:r>
    </w:p>
    <w:p w14:paraId="3D3771C0" w14:textId="77777777" w:rsidR="0072749C" w:rsidRDefault="0072749C" w:rsidP="00CC2AC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FF0000"/>
          <w:sz w:val="24"/>
        </w:rPr>
        <w:t>Источник: методическая схема, сформированная по результатам анализа [12, 13, 15–23, 46–61] и адаптированная к задачам диссертации.</w:t>
      </w:r>
    </w:p>
    <w:p w14:paraId="1313A433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>На рисунке 1.18 измерение импеданса предшествует идентификации параметров, после чего формируется оценка текущего состояния, оценивается скорость деградации и рассчитывается RUL. Для каждого перехода должны быть заданы собственные критерии качества: ошибка параметров, точность SOH, устойчивость Ḋ и прогностическая ошибка RUL.</w:t>
      </w:r>
    </w:p>
    <w:p w14:paraId="738EFD02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>Методическое значение рисунка 1.18 состоит в формализации единой трассируемой цепи оценки. В главе 1 схема сохраняется только на постановочном уровне; детальная алгоритмическая реализация, выбор методов идентификации и вычислительные процедуры должны быть раскрыты в следующей теоретико-методической главе. Практически такая декомпозиция облегчает внедрение в программно-аппаратный контур, поскольку позволяет сокращать или заменять отдельные блоки без потери физического смысла всей модели и отдельно учитывать неопределённость каждого этапа.</w:t>
      </w:r>
    </w:p>
    <w:p w14:paraId="4F8D36AD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777BE9" w14:textId="77777777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Выводы по главе 1</w:t>
      </w:r>
    </w:p>
    <w:p w14:paraId="3DD99D85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7CC52A" w14:textId="77777777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color w:val="0000FF"/>
          <w:sz w:val="28"/>
        </w:rPr>
        <w:t xml:space="preserve">В первой главе сформирована системная постановка задачи диагностики и прогнозирования ресурса тяговых аккумуляторных батарей как элементов </w:t>
      </w:r>
      <w:r>
        <w:rPr>
          <w:rFonts w:ascii="Times New Roman" w:eastAsia="Times New Roman" w:hAnsi="Times New Roman"/>
          <w:color w:val="0000FF"/>
          <w:sz w:val="28"/>
        </w:rPr>
        <w:lastRenderedPageBreak/>
        <w:t>электротехнического комплекса. Показано, что для NMC, LFP, LTO и Na-</w:t>
      </w:r>
      <w:proofErr w:type="spellStart"/>
      <w:r>
        <w:rPr>
          <w:rFonts w:ascii="Times New Roman" w:eastAsia="Times New Roman" w:hAnsi="Times New Roman"/>
          <w:color w:val="0000FF"/>
          <w:sz w:val="28"/>
        </w:rPr>
        <w:t>ion</w:t>
      </w:r>
      <w:proofErr w:type="spellEnd"/>
      <w:r>
        <w:rPr>
          <w:rFonts w:ascii="Times New Roman" w:eastAsia="Times New Roman" w:hAnsi="Times New Roman"/>
          <w:color w:val="0000FF"/>
          <w:sz w:val="28"/>
        </w:rPr>
        <w:t xml:space="preserve"> единое математическое ядро должно сочетаться с химически и режимно специфичной параметризацией; ёмкостные показатели необходимо дополнять мощностными и импедансными признаками; ЭИС предоставляет физически интерпретируемые признаки, но их использование в тяговых режимах требует режимной нормализации и сокращённого измерительного протокола.</w:t>
      </w:r>
    </w:p>
    <w:p w14:paraId="2DA4D1E6" w14:textId="77777777" w:rsidR="00C7366C" w:rsidRPr="000116A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0000FF"/>
          <w:sz w:val="28"/>
        </w:rPr>
        <w:t xml:space="preserve">Основной научный результат главы — уточнённая формулировка исследовательского разрыва и проверяемой гипотезы: требуется экспериментально обосновать компактную </w:t>
      </w:r>
      <w:proofErr w:type="spellStart"/>
      <w:r>
        <w:rPr>
          <w:rFonts w:ascii="Times New Roman" w:hAnsi="Times New Roman"/>
          <w:color w:val="0000FF"/>
          <w:sz w:val="28"/>
        </w:rPr>
        <w:t>диагностико</w:t>
      </w:r>
      <w:proofErr w:type="spellEnd"/>
      <w:r>
        <w:rPr>
          <w:rFonts w:ascii="Times New Roman" w:hAnsi="Times New Roman"/>
          <w:color w:val="0000FF"/>
          <w:sz w:val="28"/>
        </w:rPr>
        <w:t>-прогностическую архитектуру, связывающую Z(</w:t>
      </w:r>
      <w:proofErr w:type="spellStart"/>
      <w:proofErr w:type="gramStart"/>
      <w:r>
        <w:rPr>
          <w:rFonts w:ascii="Times New Roman" w:hAnsi="Times New Roman"/>
          <w:color w:val="0000FF"/>
          <w:sz w:val="28"/>
        </w:rPr>
        <w:t>ω,t</w:t>
      </w:r>
      <w:proofErr w:type="spellEnd"/>
      <w:proofErr w:type="gramEnd"/>
      <w:r>
        <w:rPr>
          <w:rFonts w:ascii="Times New Roman" w:hAnsi="Times New Roman"/>
          <w:color w:val="0000FF"/>
          <w:sz w:val="28"/>
        </w:rPr>
        <w:t xml:space="preserve">) с состоянием, скоростью деградации и RUL при контроле T, SOC, нагрузки и химии. Критериями состоятельности дальнейшего решения должны служить независимая верификация, сравнение с базовыми моделями, оценка неопределённости, ранняя чувствительность и проверка </w:t>
      </w:r>
      <w:proofErr w:type="spellStart"/>
      <w:r>
        <w:rPr>
          <w:rFonts w:ascii="Times New Roman" w:hAnsi="Times New Roman"/>
          <w:color w:val="0000FF"/>
          <w:sz w:val="28"/>
        </w:rPr>
        <w:t>межрежимной</w:t>
      </w:r>
      <w:proofErr w:type="spellEnd"/>
      <w:r>
        <w:rPr>
          <w:rFonts w:ascii="Times New Roman" w:hAnsi="Times New Roman"/>
          <w:color w:val="0000FF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FF"/>
          <w:sz w:val="28"/>
        </w:rPr>
        <w:t>межхимической</w:t>
      </w:r>
      <w:proofErr w:type="spellEnd"/>
      <w:r>
        <w:rPr>
          <w:rFonts w:ascii="Times New Roman" w:hAnsi="Times New Roman"/>
          <w:color w:val="0000FF"/>
          <w:sz w:val="28"/>
        </w:rPr>
        <w:t xml:space="preserve"> переносимости. Эти положения непосредственно определяют задачи последующих глав.</w:t>
      </w:r>
    </w:p>
    <w:p w14:paraId="27151EC7" w14:textId="77777777" w:rsidR="00740A8D" w:rsidRDefault="00000000">
      <w:r>
        <w:rPr>
          <w:rFonts w:ascii="Times New Roman" w:eastAsia="Times New Roman" w:hAnsi="Times New Roman"/>
          <w:color w:val="0000FF"/>
          <w:sz w:val="28"/>
        </w:rPr>
        <w:t>Тем самым глава 1 выполняет не только обзорную, но и постановочную функцию: из анализа известных механизмов и методов выведены ограничения, которым должна удовлетворять разрабатываемая модель. Это снижает риск декларативной новизны и обеспечивает трассируемую связь между научным разрывом, гипотезой, задачами исследования и критериями последующей экспериментальной проверки.</w:t>
      </w:r>
    </w:p>
    <w:p w14:paraId="704A70F0" w14:textId="77777777" w:rsidR="00FD5058" w:rsidRPr="000116A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B8D50" w14:textId="77777777" w:rsidR="00740A8D" w:rsidRPr="000116AC" w:rsidRDefault="00000000">
      <w:pPr>
        <w:jc w:val="center"/>
        <w:rPr>
          <w:lang w:val="en-US"/>
        </w:rPr>
      </w:pPr>
      <w:r>
        <w:rPr>
          <w:rFonts w:ascii="Times New Roman" w:eastAsia="Times New Roman" w:hAnsi="Times New Roman"/>
          <w:b/>
          <w:color w:val="0000FF"/>
          <w:sz w:val="28"/>
        </w:rPr>
        <w:t>Список</w:t>
      </w:r>
      <w:r w:rsidRPr="000116AC">
        <w:rPr>
          <w:rFonts w:ascii="Times New Roman" w:eastAsia="Times New Roman" w:hAnsi="Times New Roman"/>
          <w:b/>
          <w:color w:val="0000FF"/>
          <w:sz w:val="28"/>
          <w:lang w:val="en-US"/>
        </w:rPr>
        <w:t xml:space="preserve"> </w:t>
      </w:r>
      <w:r>
        <w:rPr>
          <w:rFonts w:ascii="Times New Roman" w:eastAsia="Times New Roman" w:hAnsi="Times New Roman"/>
          <w:b/>
          <w:color w:val="0000FF"/>
          <w:sz w:val="28"/>
        </w:rPr>
        <w:t>использованных</w:t>
      </w:r>
      <w:r w:rsidRPr="000116AC">
        <w:rPr>
          <w:rFonts w:ascii="Times New Roman" w:eastAsia="Times New Roman" w:hAnsi="Times New Roman"/>
          <w:b/>
          <w:color w:val="0000FF"/>
          <w:sz w:val="28"/>
          <w:lang w:val="en-US"/>
        </w:rPr>
        <w:t xml:space="preserve"> </w:t>
      </w:r>
      <w:r>
        <w:rPr>
          <w:rFonts w:ascii="Times New Roman" w:eastAsia="Times New Roman" w:hAnsi="Times New Roman"/>
          <w:b/>
          <w:color w:val="0000FF"/>
          <w:sz w:val="28"/>
        </w:rPr>
        <w:t>источников</w:t>
      </w:r>
    </w:p>
    <w:p w14:paraId="6BC92614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1. Newman J., Thomas-Alyea K. E. Electrochemical Systems. — 3rd ed. — Hoboken: John Wiley &amp; Sons, 2004.</w:t>
      </w:r>
    </w:p>
    <w:p w14:paraId="1EC6BC63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2. Plett G. L. Extended Kalman filtering for battery management systems of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LiPB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-based HEV battery packs. Part 1. Background // Journal of Power Sources. — 2004. — Vol. 134, No. 2. — P. 252–261. — DOI: 10.1016/j.jpowsour.2004.02.031.</w:t>
      </w:r>
    </w:p>
    <w:p w14:paraId="4935E3D4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3. Bernardi D., Pawlikowski E., Newman J. A general energy balance for battery systems // Journal of The Electrochemical Society. — 1985. — Vol. 132, No. 1. — P. 5–12. — DOI: 10.1149/1.2113792.</w:t>
      </w:r>
    </w:p>
    <w:p w14:paraId="337208E5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lastRenderedPageBreak/>
        <w:t xml:space="preserve">4. Edge J. S. et al. </w:t>
      </w:r>
      <w:proofErr w:type="gram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Lithium ion</w:t>
      </w:r>
      <w:proofErr w:type="gram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battery degradation: what you need to know // Physical Chemistry Chemical Physics. — 2021. — Vol. 23. — P. 8200–8221. — DOI: 10.1039/D1CP00359C.</w:t>
      </w:r>
    </w:p>
    <w:p w14:paraId="38CBFA9B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5.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Schmalstieg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J.,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Käbitz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S., Ecker M., Sauer D. U. A holistic aging model for </w:t>
      </w:r>
      <w:proofErr w:type="gram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Li(</w:t>
      </w:r>
      <w:proofErr w:type="spellStart"/>
      <w:proofErr w:type="gram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NiMnCo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)O2 based 18650 lithium-ion batteries // Journal of Power Sources. — 2014. — Vol. 257. — P. 325–334. — DOI: 10.1016/j.jpowsour.2014.02.012.</w:t>
      </w:r>
    </w:p>
    <w:p w14:paraId="0459D5BE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6. Heenan T. M. M. et al. Identifying the origins of microstructural defects such as cracking within Ni-rich NMC811 cathode particles for lithium-ion batteries // Advanced Energy Materials. — 2020. — Vol. 10, No. 47. — Art. 2002655. — DOI: 10.1002/aenm.202002655.</w:t>
      </w:r>
    </w:p>
    <w:p w14:paraId="05698DCE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7. Ryu H.-H., Park K.-J., Yoon C. S., Sun Y.-K. Capacity fading of Ni-rich </w:t>
      </w:r>
      <w:proofErr w:type="gram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Li[</w:t>
      </w:r>
      <w:proofErr w:type="gram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NixCoyMn1−x−</w:t>
      </w:r>
      <w:proofErr w:type="gram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y]O</w:t>
      </w:r>
      <w:proofErr w:type="gram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2 (0.6≤x≤0.95) cathodes for high-energy-density lithium-ion batteries: bulk or surface degradation? // Chemistry of Materials. — 2018. — Vol. 30, No. 3. — P. 1155–1163. — DOI: 10.1021/acs.chemmater.7b05269.</w:t>
      </w:r>
    </w:p>
    <w:p w14:paraId="3D71B8A8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8. Naumann M., Spingler F. B.,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Jossen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A. Analysis and modeling of cycle aging of a commercial LiFePO4/graphite cell // Journal of Power Sources. — 2020. — Vol. 451. — Art. 227666. — DOI: 10.1016/j.jpowsour.2019.227666.</w:t>
      </w:r>
    </w:p>
    <w:p w14:paraId="4EC5CDF0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9. Song H. et al. Stable Li4Ti5O12/LiMn2O4 full cells in a wide temperature range // Scientific Reports. — 2017. — Vol. 7. — Art. 43335. — DOI: 10.1038/srep43335.</w:t>
      </w:r>
    </w:p>
    <w:p w14:paraId="157A3FEA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10. Hall F.,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Touzri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J.,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Wußler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S.,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Buqa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H., Bessler W. G. Experimental investigation of the thermal and cycling behavior of a lithium titanate-based lithium-ion pouch cell // Journal of Energy Storage. — 2018. — Vol. 17. — P. 109–117. — DOI: 10.1016/j.est.2018.02.012.</w:t>
      </w:r>
    </w:p>
    <w:p w14:paraId="0DF2B1AD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11. Li K. et al. Evolution of the electrochemical interface in sodium ion batteries with ether electrolytes // Nature Communications. — 2019. — Vol. 10. — Art. 725. — DOI: 10.1038/s41467-019-08506-5.</w:t>
      </w:r>
    </w:p>
    <w:p w14:paraId="32970022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12. Jones P. K., Stimming U., Lee A. A. Impedance-based forecasting of lithium-ion battery performance amid uneven usage // Nature Communications. — 2022. — Vol. 13. — Art. 4806. — DOI: 10.1038/s41467-022-32422-w.</w:t>
      </w:r>
    </w:p>
    <w:p w14:paraId="65ECDA5D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13. Hu X., Xu L., Lin X., Pecht M. Battery lifetime prognostics // Joule. — 2020. — Vol. 4, No. 2. — P. 310–346. — DOI: 10.1016/j.joule.2019.11.018.</w:t>
      </w:r>
    </w:p>
    <w:p w14:paraId="4A81FC99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14. Harrington D. A., van den Driessche P. Mechanism and equivalent circuits in electrochemical impedance spectroscopy //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Electrochimica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Acta. — 2011. — Vol. 56, No. 23. — P. 8005–8013. — DOI: 10.1016/j.electacta.2011.01.067.</w:t>
      </w:r>
    </w:p>
    <w:p w14:paraId="77C4591D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lastRenderedPageBreak/>
        <w:t xml:space="preserve">15. Wang X. et al. A review of modeling, acquisition, and application of lithium-ion battery impedance for onboard battery management //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eTransportation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. — 2021. — Vol. 7. — Art. 100093. — DOI: 10.1016/j.etran.2020.100093.</w:t>
      </w:r>
    </w:p>
    <w:p w14:paraId="429B9E14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16.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Koseoglou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M.,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Tsioumas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E., Papagiannis D., Jabbour N.,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Mademlis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C. A novel on-board electrochemical impedance spectroscopy system for real-time battery impedance estimation // IEEE Transactions on Power Electronics. — 2021. — Vol. 36, No. 9. — P. 10776–10787. — DOI: 10.1109/TPEL.2021.3063506.</w:t>
      </w:r>
    </w:p>
    <w:p w14:paraId="670C3882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17. Zhang X., Lu Y. Dynamic electrochemical impedance spectroscopy: a forward application approach for lithium-ion battery status assessment //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EcoMat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. — 2025. — Vol. 7, No. 7. — Art. e70018. — DOI: 10.1002/eom2.70018.</w:t>
      </w:r>
    </w:p>
    <w:p w14:paraId="5AE0CBDC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18. Richardson R. R., Osborne M. A., Howey D. A. Gaussian process regression for forecasting battery state of health // Journal of Power Sources. — 2017. — Vol. 357. — P. 209–219. — DOI: 10.1016/j.jpowsour.2017.05.004.</w:t>
      </w:r>
    </w:p>
    <w:p w14:paraId="7CF9A1B1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19. Severson K. A. et al. Data-driven prediction of battery cycle life before capacity degradation // Nature Energy. — 2019. — Vol. 4. — P. 383–391. — DOI: 10.1038/s41560-019-0356-8.</w:t>
      </w:r>
    </w:p>
    <w:p w14:paraId="0FBCFD4A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20. Zhang Y. et al. Identifying degradation patterns of </w:t>
      </w:r>
      <w:proofErr w:type="gram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lithium ion</w:t>
      </w:r>
      <w:proofErr w:type="gram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batteries from impedance spectroscopy using machine learning // Nature Communications. — 2020. — Vol. 11. — Art. 1706. — DOI: 10.1038/s41467-020-15235-7.</w:t>
      </w:r>
    </w:p>
    <w:p w14:paraId="604DA844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21. Zhang S. et al. Early-stage lifetime prediction for lithium-ion batteries: linear regression–ensemble learning hybrid model based on impedance spectroscopy // Journal of Power Sources. — 2024. — Vol. 617. — Art. 235153. — DOI: 10.1016/j.jpowsour.2024.235153.</w:t>
      </w:r>
    </w:p>
    <w:p w14:paraId="1E3D353D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22. Nascimento R. G., </w:t>
      </w:r>
      <w:proofErr w:type="spellStart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Corbetta</w:t>
      </w:r>
      <w:proofErr w:type="spellEnd"/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 xml:space="preserve"> M., Kulkarni C. S., Viana F. A. C. Hybrid physics-informed neural networks for lithium-ion battery modeling and prognosis // Journal of Power Sources. — 2021. — Vol. 513. — Art. 230526. — DOI: 10.1016/j.jpowsour.2021.230526.</w:t>
      </w:r>
    </w:p>
    <w:p w14:paraId="2D30144B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eastAsia="Times New Roman" w:hAnsi="Times New Roman"/>
          <w:color w:val="0000FF"/>
          <w:sz w:val="28"/>
          <w:lang w:val="en-US"/>
        </w:rPr>
        <w:t>23. Wang F. et al. Physics-informed neural network for lithium-ion battery degradation stable modeling and prognosis // Nature Communications. — 2024. — Vol. 15. — Art. 4332. — DOI: 10.1038/s41467-024-48779-z.</w:t>
      </w:r>
    </w:p>
    <w:p w14:paraId="28873E64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24.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Tarnopol’skii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V.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 The impedance of lithium-ion batteries // Russian Journal of Electrochemistry. — 2009. — Vol. 45, No. 1. — P. 38–44. — DOI: 10.1134/S1023193509010066.</w:t>
      </w:r>
    </w:p>
    <w:p w14:paraId="67713E32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25.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Ivanishchev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V., Churikov A.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Ivanishcheva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Zapsis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K.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Gamayunova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M. Impedance spectroscopy of lithium-carbon electrodes // Russian Journal of Electrochemistry. — 2008. — Vol. 44, No. 5. — P. 510–524. — DOI: 10.1134/S1023193508050030.</w:t>
      </w:r>
    </w:p>
    <w:p w14:paraId="7E6BE305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lastRenderedPageBreak/>
        <w:t xml:space="preserve">26.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Churikov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V., Romanova V. O. Determination of diffusion coefficient of lithium in substituted LiMn1.95Cr0.05O4 spinel using impedance technique // Russian Journal of Electrochemistry. — 2013. — Vol. 49. — P. 272–277. — DOI: 10.1134/S1023193513030063.</w:t>
      </w:r>
    </w:p>
    <w:p w14:paraId="0BF13560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27.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Ivanishchev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V., Churikov A.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Ivanishcheva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A., Ushakov A. V. Lithium diffusion in Li3V2(PO4)3-based electrodes: a joint analysis of electrochemical impedance, cyclic voltammetry, pulse chronoamperometry, and chronopotentiometry data // Ionics. — 2016. — Vol. 22. — P. 483–501. — DOI: 10.1007/s11581-015-1568-y.</w:t>
      </w:r>
    </w:p>
    <w:p w14:paraId="3F994F69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28.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Ivanishchev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V., Ushakov A.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Ivanishcheva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Churikov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V., Mironov A. V., Fedotov S. S., Khasanova N. R., Antipov E. V. Structural and electrochemical study of fast Li diffusion in Li3V2(PO4)3-based electrode material //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Electrochimica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Acta. — 2017. — Vol. 230. — P. 479–491. — DOI: 10.1016/j.electacta.2017.02.009.</w:t>
      </w:r>
    </w:p>
    <w:p w14:paraId="77883713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29.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 Electrode materials for lithium-ion batteries of new generation // Russian Journal of Electrochemistry. — 2012. — Vol. 48. — P. 330–335. — DOI: 10.1134/S1023193512020085.</w:t>
      </w:r>
    </w:p>
    <w:p w14:paraId="3FB5BC21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30. Yaroslavtsev A. B.,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 Electrode nanomaterials for lithium-ion batteries // Russian Chemical Reviews. — 2015. — Vol. 84, No. 8. — P. 826–852. — DOI: 10.1070/RCR4497.</w:t>
      </w:r>
    </w:p>
    <w:p w14:paraId="39FF0AF1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31.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Stenina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Bukalov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S. S.,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Tabachkova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N. Yu., Yaroslavtsev A. B. Influence of a carbon coating on the electrochemical properties of lithium-titanate-based nanosized materials // Nanotechnologies in Russia. — 2015. — Vol. 10, No. 11–12. — P. 865–871. — DOI: 10.1134/S1995078015060130.</w:t>
      </w:r>
    </w:p>
    <w:p w14:paraId="085387EF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32.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Stenina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A., Sobolev A. N.,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Kuz’mina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Tabachkova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N. Yu., Yaroslavtsev A. B. Electrochemical properties of Li4Ti5O12/C and Li4Ti5O12/C/Ag nanomaterials // Inorganic Materials. — 2017. — Vol. 53. — P. 1039–1045. — DOI: 10.1134/S0020168517100144.</w:t>
      </w:r>
    </w:p>
    <w:p w14:paraId="0792A123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33. Novikova S.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Larkovich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R.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Chekannikov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M., Yaroslavtsev A. B. Electrical conductivity and electrochemical characteristics of Na3V2(PO4)3-based NASICON-type materials // Inorganic Materials. — 2018. — Vol. 54. — P. 794–804. — DOI: 10.1134/S0020168518080149.</w:t>
      </w:r>
    </w:p>
    <w:p w14:paraId="1F3C6FDE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34.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Chekannikov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Kapaev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R., Novikova S.,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Tabachkova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N.,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A., Yaroslavtsev A. Na3V2(PO4)3/C/Ag nanocomposite materials for Na-ion batteries obtained by the modified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Pechini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method // Journal of </w:t>
      </w:r>
      <w:proofErr w:type="gramStart"/>
      <w:r w:rsidRPr="000116AC">
        <w:rPr>
          <w:rFonts w:ascii="Times New Roman" w:hAnsi="Times New Roman"/>
          <w:color w:val="0000FF"/>
          <w:sz w:val="28"/>
          <w:lang w:val="en-US"/>
        </w:rPr>
        <w:t>Solid State</w:t>
      </w:r>
      <w:proofErr w:type="gram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Electrochemistry. — 2017. — Vol. 21. — P. 1615–1624. — DOI: 10.1007/s10008-017-3524-4.</w:t>
      </w:r>
    </w:p>
    <w:p w14:paraId="6C9C5B4E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lastRenderedPageBreak/>
        <w:t xml:space="preserve">35.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Bushkova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O.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Yaroslavtseva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Dobrovolsky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Yu. A. New lithium salts in electrolytes for lithium-ion batteries (Review) // Russian Journal of Electrochemistry. — 2017. — Vol. 53. — P. 677–699. — DOI: 10.1134/S1023193517070035.</w:t>
      </w:r>
    </w:p>
    <w:p w14:paraId="4567C05D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36.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Katorova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N. S.,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Galushko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S.,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Burykina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J. V., Fakhrutdinov A. N.,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Klyuev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V.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Bulyukina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V.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Kramarev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Yu.,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Pazhetnov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E. M., Abakumov A. M.,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Ananikov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V. P., Antipov E. V. et al. Chemical aspects of the degradation of lithium-ion batteries based on layered oxide LiNi0.6Mn0.2Co0.2O2 and graphite // Russian Chemical Bulletin. — 2024. — Vol. 73. — P. 1136–1148. — DOI: 10.1007/s11172-024-4228-4.</w:t>
      </w:r>
    </w:p>
    <w:p w14:paraId="384B8188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37. Chirkov Yu. G.,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Rostokin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V. I.,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 Computer simulation of an electrode of lithium-ion battery: estimation of ohmic losses for active-material grains covered by a conducting film // Russian Journal of Electrochemistry. — 2018. — Vol. 54. — P. 970–978. — DOI: 10.1134/S1023193518130098.</w:t>
      </w:r>
    </w:p>
    <w:p w14:paraId="43B51EC4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38.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 The role of vinylene carbonate in functioning of lithium-ion and sodium-ion batteries // Electrochemical Energetics. — 2021. — Vol. 21, No. 3. — P. 117–131. — DOI: 10.18500/1608-4039-2021-21-3-117-131.</w:t>
      </w:r>
    </w:p>
    <w:p w14:paraId="166A0F4F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39.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Opra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D. P.,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Neumoin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I.,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Sinebryukhov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S. L., Sokolov A. A.,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Gnedenkov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S. V. Na2Ti3O7 and </w:t>
      </w:r>
      <w:r>
        <w:rPr>
          <w:rFonts w:ascii="Times New Roman" w:hAnsi="Times New Roman"/>
          <w:color w:val="0000FF"/>
          <w:sz w:val="28"/>
        </w:rPr>
        <w:t>α</w:t>
      </w:r>
      <w:r w:rsidRPr="000116AC">
        <w:rPr>
          <w:rFonts w:ascii="Times New Roman" w:hAnsi="Times New Roman"/>
          <w:color w:val="0000FF"/>
          <w:sz w:val="28"/>
          <w:lang w:val="en-US"/>
        </w:rPr>
        <w:t>-Fe2O3-based hybrid nanomaterial for the negative electrode of sodium-ion batteries // Electrochemical Energetics. — 2025. — Vol. 25, No. 1. — P. 23–32. — DOI: 10.18500/1608-4039-2025-25-1-23-32.</w:t>
      </w:r>
    </w:p>
    <w:p w14:paraId="7DDA15D3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40.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Stenina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I. A., Kozina L. D.,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Kulova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T. L.,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Skundin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M.,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Chekannikov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A., Yaroslavtsev A. B. Synthesis and ionic conduction of sodium titanate Na2Ti3O7 // Russian Journal of Inorganic Chemistry. — 2016. — Vol. 61, No. 10. — P. 1235–1240. — DOI: 10.1134/S003602361610020X.</w:t>
      </w:r>
    </w:p>
    <w:p w14:paraId="32842E79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41. Ushakov A. V., Rybakov K. S.,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Khrykina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 Composite electrodes based on Li3V2(PO4)3, Li4Ti5O12 and carbon nanotubes: the influence of composition, thickness and surface morphology on electrochemical properties // Electrochemical Energetics. — 2024. — Vol. 24, No. 3. — P. 133–149. — DOI: 10.18500/1608-4039-2024-24-3-133-149.</w:t>
      </w:r>
    </w:p>
    <w:p w14:paraId="13F7A450" w14:textId="77777777" w:rsidR="00740A8D" w:rsidRDefault="00000000">
      <w:r>
        <w:rPr>
          <w:rFonts w:ascii="Times New Roman" w:hAnsi="Times New Roman"/>
          <w:color w:val="0000FF"/>
          <w:sz w:val="28"/>
        </w:rPr>
        <w:t xml:space="preserve">42. </w:t>
      </w:r>
      <w:proofErr w:type="spellStart"/>
      <w:r>
        <w:rPr>
          <w:rFonts w:ascii="Times New Roman" w:hAnsi="Times New Roman"/>
          <w:color w:val="0000FF"/>
          <w:sz w:val="28"/>
        </w:rPr>
        <w:t>Багоцкий</w:t>
      </w:r>
      <w:proofErr w:type="spellEnd"/>
      <w:r>
        <w:rPr>
          <w:rFonts w:ascii="Times New Roman" w:hAnsi="Times New Roman"/>
          <w:color w:val="0000FF"/>
          <w:sz w:val="28"/>
        </w:rPr>
        <w:t xml:space="preserve"> В. С., </w:t>
      </w:r>
      <w:proofErr w:type="spellStart"/>
      <w:r>
        <w:rPr>
          <w:rFonts w:ascii="Times New Roman" w:hAnsi="Times New Roman"/>
          <w:color w:val="0000FF"/>
          <w:sz w:val="28"/>
        </w:rPr>
        <w:t>Скундин</w:t>
      </w:r>
      <w:proofErr w:type="spellEnd"/>
      <w:r>
        <w:rPr>
          <w:rFonts w:ascii="Times New Roman" w:hAnsi="Times New Roman"/>
          <w:color w:val="0000FF"/>
          <w:sz w:val="28"/>
        </w:rPr>
        <w:t xml:space="preserve"> А. М. Химические источники тока. — М.: </w:t>
      </w:r>
      <w:proofErr w:type="spellStart"/>
      <w:r>
        <w:rPr>
          <w:rFonts w:ascii="Times New Roman" w:hAnsi="Times New Roman"/>
          <w:color w:val="0000FF"/>
          <w:sz w:val="28"/>
        </w:rPr>
        <w:t>Энергоиздат</w:t>
      </w:r>
      <w:proofErr w:type="spellEnd"/>
      <w:r>
        <w:rPr>
          <w:rFonts w:ascii="Times New Roman" w:hAnsi="Times New Roman"/>
          <w:color w:val="0000FF"/>
          <w:sz w:val="28"/>
        </w:rPr>
        <w:t>, 1981. — 360 с.</w:t>
      </w:r>
    </w:p>
    <w:p w14:paraId="1E674810" w14:textId="77777777" w:rsidR="00740A8D" w:rsidRDefault="00000000">
      <w:r>
        <w:rPr>
          <w:rFonts w:ascii="Times New Roman" w:hAnsi="Times New Roman"/>
          <w:color w:val="0000FF"/>
          <w:sz w:val="28"/>
        </w:rPr>
        <w:t xml:space="preserve">43. Кошкина А. А., Ярославцева Т. В., Урусова Н. В., </w:t>
      </w:r>
      <w:proofErr w:type="spellStart"/>
      <w:r>
        <w:rPr>
          <w:rFonts w:ascii="Times New Roman" w:hAnsi="Times New Roman"/>
          <w:color w:val="0000FF"/>
          <w:sz w:val="28"/>
        </w:rPr>
        <w:t>Резницких</w:t>
      </w:r>
      <w:proofErr w:type="spellEnd"/>
      <w:r>
        <w:rPr>
          <w:rFonts w:ascii="Times New Roman" w:hAnsi="Times New Roman"/>
          <w:color w:val="0000FF"/>
          <w:sz w:val="28"/>
        </w:rPr>
        <w:t xml:space="preserve"> О. Г., Хрусталев М. А., Нефедова К. В., Журавлев В. Д., Бушкова О. В. Бораты лития как поверхностный защитный слой для литий-марганцевой шпинели // Электрохимическая энергетика. — 2024. — Т. 24, № 2. — С. 88–102. — DOI: 10.18500/1608-4039-2024-24-2-88-102.</w:t>
      </w:r>
    </w:p>
    <w:p w14:paraId="7B444DB9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44.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Churikov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Sycheva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V. O. Determination of diffusion coefficient of lithium in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LiM</w:t>
      </w:r>
      <w:proofErr w:type="spellEnd"/>
      <w:r>
        <w:rPr>
          <w:rFonts w:ascii="Times New Roman" w:hAnsi="Times New Roman"/>
          <w:color w:val="0000FF"/>
          <w:sz w:val="28"/>
        </w:rPr>
        <w:t>ᵧ</w:t>
      </w:r>
      <w:r w:rsidRPr="000116AC">
        <w:rPr>
          <w:rFonts w:ascii="Times New Roman" w:hAnsi="Times New Roman"/>
          <w:color w:val="0000FF"/>
          <w:sz w:val="28"/>
          <w:lang w:val="en-US"/>
        </w:rPr>
        <w:t>Mn₂₋</w:t>
      </w:r>
      <w:r>
        <w:rPr>
          <w:rFonts w:ascii="Times New Roman" w:hAnsi="Times New Roman"/>
          <w:color w:val="0000FF"/>
          <w:sz w:val="28"/>
        </w:rPr>
        <w:t>ᵧ</w:t>
      </w:r>
      <w:r w:rsidRPr="000116AC">
        <w:rPr>
          <w:rFonts w:ascii="Times New Roman" w:hAnsi="Times New Roman"/>
          <w:color w:val="0000FF"/>
          <w:sz w:val="28"/>
          <w:lang w:val="en-US"/>
        </w:rPr>
        <w:t xml:space="preserve">O₄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spinels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using galvanostatic intermittent titration technique // Russian </w:t>
      </w:r>
      <w:r w:rsidRPr="000116AC">
        <w:rPr>
          <w:rFonts w:ascii="Times New Roman" w:hAnsi="Times New Roman"/>
          <w:color w:val="0000FF"/>
          <w:sz w:val="28"/>
          <w:lang w:val="en-US"/>
        </w:rPr>
        <w:lastRenderedPageBreak/>
        <w:t>Journal of Electrochemistry. — 2012. — Vol. 48, No. 1. — P. 111–116. — DOI: 10.1134/S1023193512010065.</w:t>
      </w:r>
    </w:p>
    <w:p w14:paraId="0666B017" w14:textId="77777777" w:rsidR="00740A8D" w:rsidRPr="000116AC" w:rsidRDefault="00000000">
      <w:pPr>
        <w:rPr>
          <w:lang w:val="en-US"/>
        </w:rPr>
      </w:pPr>
      <w:r w:rsidRPr="000116AC">
        <w:rPr>
          <w:rFonts w:ascii="Times New Roman" w:hAnsi="Times New Roman"/>
          <w:color w:val="0000FF"/>
          <w:sz w:val="28"/>
          <w:lang w:val="en-US"/>
        </w:rPr>
        <w:t xml:space="preserve">45.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Churikov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A. V.,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Sycheva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V. O. Determination of diffusion coefficient of lithium in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LiM</w:t>
      </w:r>
      <w:proofErr w:type="spellEnd"/>
      <w:r>
        <w:rPr>
          <w:rFonts w:ascii="Times New Roman" w:hAnsi="Times New Roman"/>
          <w:color w:val="0000FF"/>
          <w:sz w:val="28"/>
        </w:rPr>
        <w:t>ᵧ</w:t>
      </w:r>
      <w:r w:rsidRPr="000116AC">
        <w:rPr>
          <w:rFonts w:ascii="Times New Roman" w:hAnsi="Times New Roman"/>
          <w:color w:val="0000FF"/>
          <w:sz w:val="28"/>
          <w:lang w:val="en-US"/>
        </w:rPr>
        <w:t>Mn₂₋</w:t>
      </w:r>
      <w:r>
        <w:rPr>
          <w:rFonts w:ascii="Times New Roman" w:hAnsi="Times New Roman"/>
          <w:color w:val="0000FF"/>
          <w:sz w:val="28"/>
        </w:rPr>
        <w:t>ᵧ</w:t>
      </w:r>
      <w:r w:rsidRPr="000116AC">
        <w:rPr>
          <w:rFonts w:ascii="Times New Roman" w:hAnsi="Times New Roman"/>
          <w:color w:val="0000FF"/>
          <w:sz w:val="28"/>
          <w:lang w:val="en-US"/>
        </w:rPr>
        <w:t xml:space="preserve">O₄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spinels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using </w:t>
      </w:r>
      <w:proofErr w:type="spellStart"/>
      <w:r w:rsidRPr="000116AC">
        <w:rPr>
          <w:rFonts w:ascii="Times New Roman" w:hAnsi="Times New Roman"/>
          <w:color w:val="0000FF"/>
          <w:sz w:val="28"/>
          <w:lang w:val="en-US"/>
        </w:rPr>
        <w:t>potentiostatic</w:t>
      </w:r>
      <w:proofErr w:type="spellEnd"/>
      <w:r w:rsidRPr="000116AC">
        <w:rPr>
          <w:rFonts w:ascii="Times New Roman" w:hAnsi="Times New Roman"/>
          <w:color w:val="0000FF"/>
          <w:sz w:val="28"/>
          <w:lang w:val="en-US"/>
        </w:rPr>
        <w:t xml:space="preserve"> intermittent titration technique // Russian Journal of Electrochemistry. — 2011. — Vol. 47, No. 9. — P. 1043–1048. — DOI: 10.1134/S102319351109014X.</w:t>
      </w:r>
    </w:p>
    <w:p w14:paraId="2C7E1BD4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46. </w:t>
      </w:r>
      <w:proofErr w:type="spellStart"/>
      <w:r>
        <w:rPr>
          <w:rFonts w:ascii="Times New Roman" w:hAnsi="Times New Roman"/>
          <w:color w:val="FF0000"/>
          <w:sz w:val="28"/>
        </w:rPr>
        <w:t>Багоцкий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В. С. Основы электрохимии. — М. : Химия, 1988. — 400 с. — ISBN 5-7245-0051-5.</w:t>
      </w:r>
    </w:p>
    <w:p w14:paraId="7CFE53B4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47. Дамаскин Б. Б., </w:t>
      </w:r>
      <w:proofErr w:type="spellStart"/>
      <w:r>
        <w:rPr>
          <w:rFonts w:ascii="Times New Roman" w:hAnsi="Times New Roman"/>
          <w:color w:val="FF0000"/>
          <w:sz w:val="28"/>
        </w:rPr>
        <w:t>Петрий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О. А., </w:t>
      </w:r>
      <w:proofErr w:type="spellStart"/>
      <w:r>
        <w:rPr>
          <w:rFonts w:ascii="Times New Roman" w:hAnsi="Times New Roman"/>
          <w:color w:val="FF0000"/>
          <w:sz w:val="28"/>
        </w:rPr>
        <w:t>Цирлина</w:t>
      </w:r>
      <w:proofErr w:type="spellEnd"/>
      <w:r>
        <w:rPr>
          <w:rFonts w:ascii="Times New Roman" w:hAnsi="Times New Roman"/>
          <w:color w:val="FF0000"/>
          <w:sz w:val="28"/>
        </w:rPr>
        <w:t xml:space="preserve"> Г. А. Электрохимия : учебник. — 2-е изд., </w:t>
      </w:r>
      <w:proofErr w:type="spellStart"/>
      <w:r>
        <w:rPr>
          <w:rFonts w:ascii="Times New Roman" w:hAnsi="Times New Roman"/>
          <w:color w:val="FF0000"/>
          <w:sz w:val="28"/>
        </w:rPr>
        <w:t>испр</w:t>
      </w:r>
      <w:proofErr w:type="spellEnd"/>
      <w:proofErr w:type="gramStart"/>
      <w:r>
        <w:rPr>
          <w:rFonts w:ascii="Times New Roman" w:hAnsi="Times New Roman"/>
          <w:color w:val="FF0000"/>
          <w:sz w:val="28"/>
        </w:rPr>
        <w:t>.</w:t>
      </w:r>
      <w:proofErr w:type="gramEnd"/>
      <w:r>
        <w:rPr>
          <w:rFonts w:ascii="Times New Roman" w:hAnsi="Times New Roman"/>
          <w:color w:val="FF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FF0000"/>
          <w:sz w:val="28"/>
        </w:rPr>
        <w:t>перераб</w:t>
      </w:r>
      <w:proofErr w:type="spellEnd"/>
      <w:r>
        <w:rPr>
          <w:rFonts w:ascii="Times New Roman" w:hAnsi="Times New Roman"/>
          <w:color w:val="FF0000"/>
          <w:sz w:val="28"/>
        </w:rPr>
        <w:t xml:space="preserve">. — М. : Химия ; </w:t>
      </w:r>
      <w:proofErr w:type="spellStart"/>
      <w:r>
        <w:rPr>
          <w:rFonts w:ascii="Times New Roman" w:hAnsi="Times New Roman"/>
          <w:color w:val="FF0000"/>
          <w:sz w:val="28"/>
        </w:rPr>
        <w:t>КолосС</w:t>
      </w:r>
      <w:proofErr w:type="spellEnd"/>
      <w:r>
        <w:rPr>
          <w:rFonts w:ascii="Times New Roman" w:hAnsi="Times New Roman"/>
          <w:color w:val="FF0000"/>
          <w:sz w:val="28"/>
        </w:rPr>
        <w:t>, 2006. — 672 с. — ISBN 5-98109-011-</w:t>
      </w:r>
      <w:proofErr w:type="gramStart"/>
      <w:r>
        <w:rPr>
          <w:rFonts w:ascii="Times New Roman" w:hAnsi="Times New Roman"/>
          <w:color w:val="FF0000"/>
          <w:sz w:val="28"/>
        </w:rPr>
        <w:t>1 ;</w:t>
      </w:r>
      <w:proofErr w:type="gramEnd"/>
      <w:r>
        <w:rPr>
          <w:rFonts w:ascii="Times New Roman" w:hAnsi="Times New Roman"/>
          <w:color w:val="FF0000"/>
          <w:sz w:val="28"/>
        </w:rPr>
        <w:t xml:space="preserve"> ISBN 5-9532-0295-4.</w:t>
      </w:r>
    </w:p>
    <w:p w14:paraId="43DE095E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48. Химические источники </w:t>
      </w:r>
      <w:proofErr w:type="gramStart"/>
      <w:r>
        <w:rPr>
          <w:rFonts w:ascii="Times New Roman" w:hAnsi="Times New Roman"/>
          <w:color w:val="FF0000"/>
          <w:sz w:val="28"/>
        </w:rPr>
        <w:t>тока :</w:t>
      </w:r>
      <w:proofErr w:type="gramEnd"/>
      <w:r>
        <w:rPr>
          <w:rFonts w:ascii="Times New Roman" w:hAnsi="Times New Roman"/>
          <w:color w:val="FF0000"/>
          <w:sz w:val="28"/>
        </w:rPr>
        <w:t xml:space="preserve"> справочник / под ред. Н. В. Коровина, А. М. </w:t>
      </w:r>
      <w:proofErr w:type="spellStart"/>
      <w:r>
        <w:rPr>
          <w:rFonts w:ascii="Times New Roman" w:hAnsi="Times New Roman"/>
          <w:color w:val="FF0000"/>
          <w:sz w:val="28"/>
        </w:rPr>
        <w:t>Скундина</w:t>
      </w:r>
      <w:proofErr w:type="spellEnd"/>
      <w:r>
        <w:rPr>
          <w:rFonts w:ascii="Times New Roman" w:hAnsi="Times New Roman"/>
          <w:color w:val="FF0000"/>
          <w:sz w:val="28"/>
        </w:rPr>
        <w:t>. — М. : Изд-во МЭИ, 2003. — 739 с. — ISBN 5-7046-0899-X.</w:t>
      </w:r>
    </w:p>
    <w:p w14:paraId="381A210F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49. Коровин Н. В. Электрохимическая энергетика. — М. : Энергоатомиздат, 1991. — 264 с. — ISBN 5-283-00611-5.</w:t>
      </w:r>
    </w:p>
    <w:p w14:paraId="5D7301FB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50. </w:t>
      </w:r>
      <w:proofErr w:type="spellStart"/>
      <w:r>
        <w:rPr>
          <w:rFonts w:ascii="Times New Roman" w:hAnsi="Times New Roman"/>
          <w:color w:val="FF0000"/>
          <w:sz w:val="28"/>
        </w:rPr>
        <w:t>Кедринский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И. А., Дмитриенко В. Е., </w:t>
      </w:r>
      <w:proofErr w:type="spellStart"/>
      <w:r>
        <w:rPr>
          <w:rFonts w:ascii="Times New Roman" w:hAnsi="Times New Roman"/>
          <w:color w:val="FF0000"/>
          <w:sz w:val="28"/>
        </w:rPr>
        <w:t>Грудянов</w:t>
      </w:r>
      <w:proofErr w:type="spellEnd"/>
      <w:r>
        <w:rPr>
          <w:rFonts w:ascii="Times New Roman" w:hAnsi="Times New Roman"/>
          <w:color w:val="FF0000"/>
          <w:sz w:val="28"/>
        </w:rPr>
        <w:t xml:space="preserve"> И. И. Литиевые источники тока. — М. : Энергоатомиздат, 1992. — 240 с.</w:t>
      </w:r>
    </w:p>
    <w:p w14:paraId="201FE99B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51. </w:t>
      </w:r>
      <w:proofErr w:type="spellStart"/>
      <w:r>
        <w:rPr>
          <w:rFonts w:ascii="Times New Roman" w:hAnsi="Times New Roman"/>
          <w:color w:val="FF0000"/>
          <w:sz w:val="28"/>
        </w:rPr>
        <w:t>Таганова</w:t>
      </w:r>
      <w:proofErr w:type="spellEnd"/>
      <w:r>
        <w:rPr>
          <w:rFonts w:ascii="Times New Roman" w:hAnsi="Times New Roman"/>
          <w:color w:val="FF0000"/>
          <w:sz w:val="28"/>
        </w:rPr>
        <w:t xml:space="preserve"> А. А., Бубнов Ю. И., Орлов С. Б. Герметичные химические источники тока: элементы и аккумуляторы. Оборудование для испытаний и </w:t>
      </w:r>
      <w:proofErr w:type="gramStart"/>
      <w:r>
        <w:rPr>
          <w:rFonts w:ascii="Times New Roman" w:hAnsi="Times New Roman"/>
          <w:color w:val="FF0000"/>
          <w:sz w:val="28"/>
        </w:rPr>
        <w:t>эксплуатации :</w:t>
      </w:r>
      <w:proofErr w:type="gramEnd"/>
      <w:r>
        <w:rPr>
          <w:rFonts w:ascii="Times New Roman" w:hAnsi="Times New Roman"/>
          <w:color w:val="FF0000"/>
          <w:sz w:val="28"/>
        </w:rPr>
        <w:t xml:space="preserve"> справочник. — СПб. : </w:t>
      </w:r>
      <w:proofErr w:type="spellStart"/>
      <w:r>
        <w:rPr>
          <w:rFonts w:ascii="Times New Roman" w:hAnsi="Times New Roman"/>
          <w:color w:val="FF0000"/>
          <w:sz w:val="28"/>
        </w:rPr>
        <w:t>Химиздат</w:t>
      </w:r>
      <w:proofErr w:type="spellEnd"/>
      <w:r>
        <w:rPr>
          <w:rFonts w:ascii="Times New Roman" w:hAnsi="Times New Roman"/>
          <w:color w:val="FF0000"/>
          <w:sz w:val="28"/>
        </w:rPr>
        <w:t>, 2005. — 264 с. — ISBN 5-93808-098-3.</w:t>
      </w:r>
    </w:p>
    <w:p w14:paraId="0351969C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52. </w:t>
      </w:r>
      <w:proofErr w:type="spellStart"/>
      <w:r>
        <w:rPr>
          <w:rFonts w:ascii="Times New Roman" w:hAnsi="Times New Roman"/>
          <w:color w:val="FF0000"/>
          <w:sz w:val="28"/>
        </w:rPr>
        <w:t>Стойнов</w:t>
      </w:r>
      <w:proofErr w:type="spellEnd"/>
      <w:r>
        <w:rPr>
          <w:rFonts w:ascii="Times New Roman" w:hAnsi="Times New Roman"/>
          <w:color w:val="FF0000"/>
          <w:sz w:val="28"/>
        </w:rPr>
        <w:t xml:space="preserve"> З. Б., Графов Б. М., Савова-</w:t>
      </w:r>
      <w:proofErr w:type="spellStart"/>
      <w:r>
        <w:rPr>
          <w:rFonts w:ascii="Times New Roman" w:hAnsi="Times New Roman"/>
          <w:color w:val="FF0000"/>
          <w:sz w:val="28"/>
        </w:rPr>
        <w:t>Стойнова</w:t>
      </w:r>
      <w:proofErr w:type="spellEnd"/>
      <w:r>
        <w:rPr>
          <w:rFonts w:ascii="Times New Roman" w:hAnsi="Times New Roman"/>
          <w:color w:val="FF0000"/>
          <w:sz w:val="28"/>
        </w:rPr>
        <w:t xml:space="preserve"> Б., Елкин В. В. Электрохимический импеданс. — М. : Наука, 1991. — 336 с.</w:t>
      </w:r>
    </w:p>
    <w:p w14:paraId="6C0B9418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53. </w:t>
      </w:r>
      <w:proofErr w:type="spellStart"/>
      <w:r>
        <w:rPr>
          <w:rFonts w:ascii="Times New Roman" w:hAnsi="Times New Roman"/>
          <w:color w:val="FF0000"/>
          <w:sz w:val="28"/>
        </w:rPr>
        <w:t>Козадеров</w:t>
      </w:r>
      <w:proofErr w:type="spellEnd"/>
      <w:r>
        <w:rPr>
          <w:rFonts w:ascii="Times New Roman" w:hAnsi="Times New Roman"/>
          <w:color w:val="FF0000"/>
          <w:sz w:val="28"/>
        </w:rPr>
        <w:t xml:space="preserve"> О. А., Введенский А. В. Современные химические источники тока : учебное пособие. — 3-е изд., </w:t>
      </w:r>
      <w:proofErr w:type="spellStart"/>
      <w:r>
        <w:rPr>
          <w:rFonts w:ascii="Times New Roman" w:hAnsi="Times New Roman"/>
          <w:color w:val="FF0000"/>
          <w:sz w:val="28"/>
        </w:rPr>
        <w:t>испр</w:t>
      </w:r>
      <w:proofErr w:type="spellEnd"/>
      <w:r>
        <w:rPr>
          <w:rFonts w:ascii="Times New Roman" w:hAnsi="Times New Roman"/>
          <w:color w:val="FF0000"/>
          <w:sz w:val="28"/>
        </w:rPr>
        <w:t>. — СПб</w:t>
      </w:r>
      <w:proofErr w:type="gramStart"/>
      <w:r>
        <w:rPr>
          <w:rFonts w:ascii="Times New Roman" w:hAnsi="Times New Roman"/>
          <w:color w:val="FF0000"/>
          <w:sz w:val="28"/>
        </w:rPr>
        <w:t>. :</w:t>
      </w:r>
      <w:proofErr w:type="gramEnd"/>
      <w:r>
        <w:rPr>
          <w:rFonts w:ascii="Times New Roman" w:hAnsi="Times New Roman"/>
          <w:color w:val="FF0000"/>
          <w:sz w:val="28"/>
        </w:rPr>
        <w:t xml:space="preserve"> Лань, 2021. — 132 с.</w:t>
      </w:r>
    </w:p>
    <w:p w14:paraId="133D4A1F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54. </w:t>
      </w:r>
      <w:proofErr w:type="spellStart"/>
      <w:r>
        <w:rPr>
          <w:rFonts w:ascii="Times New Roman" w:hAnsi="Times New Roman"/>
          <w:color w:val="FF0000"/>
          <w:sz w:val="28"/>
        </w:rPr>
        <w:t>Багоцкий</w:t>
      </w:r>
      <w:proofErr w:type="spellEnd"/>
      <w:r>
        <w:rPr>
          <w:rFonts w:ascii="Times New Roman" w:hAnsi="Times New Roman"/>
          <w:color w:val="FF0000"/>
          <w:sz w:val="28"/>
        </w:rPr>
        <w:t xml:space="preserve"> В. С., </w:t>
      </w:r>
      <w:proofErr w:type="spellStart"/>
      <w:r>
        <w:rPr>
          <w:rFonts w:ascii="Times New Roman" w:hAnsi="Times New Roman"/>
          <w:color w:val="FF0000"/>
          <w:sz w:val="28"/>
        </w:rPr>
        <w:t>Скундин</w:t>
      </w:r>
      <w:proofErr w:type="spellEnd"/>
      <w:r>
        <w:rPr>
          <w:rFonts w:ascii="Times New Roman" w:hAnsi="Times New Roman"/>
          <w:color w:val="FF0000"/>
          <w:sz w:val="28"/>
        </w:rPr>
        <w:t xml:space="preserve"> А. М. Проблемы в области литиевых источников тока // Электрохимия. — 1995. — Т. 31, № 4. — С. 342–349.</w:t>
      </w:r>
    </w:p>
    <w:p w14:paraId="315132F2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lastRenderedPageBreak/>
        <w:t xml:space="preserve">55. </w:t>
      </w:r>
      <w:proofErr w:type="spellStart"/>
      <w:r>
        <w:rPr>
          <w:rFonts w:ascii="Times New Roman" w:hAnsi="Times New Roman"/>
          <w:color w:val="FF0000"/>
          <w:sz w:val="28"/>
        </w:rPr>
        <w:t>Скундин</w:t>
      </w:r>
      <w:proofErr w:type="spellEnd"/>
      <w:r>
        <w:rPr>
          <w:rFonts w:ascii="Times New Roman" w:hAnsi="Times New Roman"/>
          <w:color w:val="FF0000"/>
          <w:sz w:val="28"/>
        </w:rPr>
        <w:t xml:space="preserve"> А. М. Литий-ионные аккумуляторы: современное состояние, проблемы и перспективы // Электрохимическая энергетика. — 2001. — Т. 1, </w:t>
      </w:r>
      <w:proofErr w:type="spellStart"/>
      <w:r>
        <w:rPr>
          <w:rFonts w:ascii="Times New Roman" w:hAnsi="Times New Roman"/>
          <w:color w:val="FF0000"/>
          <w:sz w:val="28"/>
        </w:rPr>
        <w:t>вып</w:t>
      </w:r>
      <w:proofErr w:type="spellEnd"/>
      <w:r>
        <w:rPr>
          <w:rFonts w:ascii="Times New Roman" w:hAnsi="Times New Roman"/>
          <w:color w:val="FF0000"/>
          <w:sz w:val="28"/>
        </w:rPr>
        <w:t>. 1. — С. 5–15.</w:t>
      </w:r>
    </w:p>
    <w:p w14:paraId="131C43C9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56. </w:t>
      </w:r>
      <w:proofErr w:type="spellStart"/>
      <w:r>
        <w:rPr>
          <w:rFonts w:ascii="Times New Roman" w:hAnsi="Times New Roman"/>
          <w:color w:val="FF0000"/>
          <w:sz w:val="28"/>
        </w:rPr>
        <w:t>Скундин</w:t>
      </w:r>
      <w:proofErr w:type="spellEnd"/>
      <w:r>
        <w:rPr>
          <w:rFonts w:ascii="Times New Roman" w:hAnsi="Times New Roman"/>
          <w:color w:val="FF0000"/>
          <w:sz w:val="28"/>
        </w:rPr>
        <w:t xml:space="preserve"> А. М., Ефимов О. Н., Ярмоленко О. В. Современное состояние и перспективы развития литиевых аккумуляторов // Успехи химии. — 2002. — Т. 71, № 4. — С. 378–398.</w:t>
      </w:r>
    </w:p>
    <w:p w14:paraId="3E612FA4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57. Кулова Т. Л., </w:t>
      </w:r>
      <w:proofErr w:type="spellStart"/>
      <w:r>
        <w:rPr>
          <w:rFonts w:ascii="Times New Roman" w:hAnsi="Times New Roman"/>
          <w:color w:val="FF0000"/>
          <w:sz w:val="28"/>
        </w:rPr>
        <w:t>Скундин</w:t>
      </w:r>
      <w:proofErr w:type="spellEnd"/>
      <w:r>
        <w:rPr>
          <w:rFonts w:ascii="Times New Roman" w:hAnsi="Times New Roman"/>
          <w:color w:val="FF0000"/>
          <w:sz w:val="28"/>
        </w:rPr>
        <w:t xml:space="preserve"> А. М. От литий-ионных к натрий-ионным аккумуляторам // Электрохимическая энергетика. — 2016. — Т. 16, № 3. — С. 122–150. — DOI: 10.18500/1608-4039-2016-16-3-122-150.</w:t>
      </w:r>
    </w:p>
    <w:p w14:paraId="316D7434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58. Липкин М. С., </w:t>
      </w:r>
      <w:proofErr w:type="spellStart"/>
      <w:r>
        <w:rPr>
          <w:rFonts w:ascii="Times New Roman" w:hAnsi="Times New Roman"/>
          <w:color w:val="FF0000"/>
          <w:sz w:val="28"/>
        </w:rPr>
        <w:t>Корбова</w:t>
      </w:r>
      <w:proofErr w:type="spellEnd"/>
      <w:r>
        <w:rPr>
          <w:rFonts w:ascii="Times New Roman" w:hAnsi="Times New Roman"/>
          <w:color w:val="FF0000"/>
          <w:sz w:val="28"/>
        </w:rPr>
        <w:t xml:space="preserve"> Е. В., Луковкин М. В., Липкина Т. В., Семенкова А. В. Диагностика литий-ионных аккумуляторов методами электрохимического импеданса // Известия вузов. Северо-Кавказский регион. Технические науки. — 2023. — № 1. — С. 43–48. — DOI: 10.17213/1560-3644-2023-1-43-48.</w:t>
      </w:r>
    </w:p>
    <w:p w14:paraId="4F0FCF9F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59. Попов А. Г., Ерёмин Н. В., Мозговой Н. А., Пиджаков В. А. Спектроскопия электрохимического импеданса литиевых источников тока // Труды МФТИ. — 2022. — Т. 14, № 1. — С. 78–87. — DOI: 10.53815/20726759_2022_14_1_3.</w:t>
      </w:r>
    </w:p>
    <w:p w14:paraId="2C9CF3B5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>60. Гнеденков С. В., Синебрюхов С. Л. Импедансная спектроскопия в исследовании процессов переноса заряда // Вестник ДВО РАН. — 2006. — № 5. — С. 6–16.</w:t>
      </w:r>
    </w:p>
    <w:p w14:paraId="1C3E44A4" w14:textId="77777777" w:rsidR="00740A8D" w:rsidRDefault="00000000">
      <w:pPr>
        <w:spacing w:line="360" w:lineRule="auto"/>
        <w:ind w:firstLine="709"/>
        <w:jc w:val="both"/>
      </w:pPr>
      <w:r>
        <w:rPr>
          <w:rFonts w:ascii="Times New Roman" w:hAnsi="Times New Roman"/>
          <w:color w:val="FF0000"/>
          <w:sz w:val="28"/>
        </w:rPr>
        <w:t xml:space="preserve">61. Галкин В. В., Ланина Е. В., </w:t>
      </w:r>
      <w:proofErr w:type="spellStart"/>
      <w:r>
        <w:rPr>
          <w:rFonts w:ascii="Times New Roman" w:hAnsi="Times New Roman"/>
          <w:color w:val="FF0000"/>
          <w:sz w:val="28"/>
        </w:rPr>
        <w:t>Шельдешов</w:t>
      </w:r>
      <w:proofErr w:type="spellEnd"/>
      <w:r>
        <w:rPr>
          <w:rFonts w:ascii="Times New Roman" w:hAnsi="Times New Roman"/>
          <w:color w:val="FF0000"/>
          <w:sz w:val="28"/>
        </w:rPr>
        <w:t xml:space="preserve"> Н. В. Зависимость электрохимических характеристик литий-ионного аккумулятора в исходном состоянии и после деградации от структурных параметров положительного электрода // Электрохимическая энергетика. — 2013. — Т. 13, № 2. — С. 103–112.</w:t>
      </w:r>
    </w:p>
    <w:sectPr w:rsidR="00740A8D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116AC"/>
    <w:rsid w:val="00016A8E"/>
    <w:rsid w:val="00021643"/>
    <w:rsid w:val="00023C7A"/>
    <w:rsid w:val="00025AB9"/>
    <w:rsid w:val="00026C0E"/>
    <w:rsid w:val="000277D4"/>
    <w:rsid w:val="00027A3E"/>
    <w:rsid w:val="00030F30"/>
    <w:rsid w:val="00031860"/>
    <w:rsid w:val="00031DF2"/>
    <w:rsid w:val="000325D8"/>
    <w:rsid w:val="00034171"/>
    <w:rsid w:val="000342B1"/>
    <w:rsid w:val="000347E1"/>
    <w:rsid w:val="0003609B"/>
    <w:rsid w:val="00041CBF"/>
    <w:rsid w:val="00047BFD"/>
    <w:rsid w:val="00061A05"/>
    <w:rsid w:val="0006550F"/>
    <w:rsid w:val="0007376D"/>
    <w:rsid w:val="000737B2"/>
    <w:rsid w:val="00073B2F"/>
    <w:rsid w:val="00074F0F"/>
    <w:rsid w:val="0007647A"/>
    <w:rsid w:val="00076604"/>
    <w:rsid w:val="0008035D"/>
    <w:rsid w:val="000803DA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085B"/>
    <w:rsid w:val="000C45A7"/>
    <w:rsid w:val="000D1017"/>
    <w:rsid w:val="000D1909"/>
    <w:rsid w:val="000D55DB"/>
    <w:rsid w:val="000E1575"/>
    <w:rsid w:val="000E50F5"/>
    <w:rsid w:val="000E5AAC"/>
    <w:rsid w:val="000E7EAE"/>
    <w:rsid w:val="000F039C"/>
    <w:rsid w:val="000F2F07"/>
    <w:rsid w:val="000F5501"/>
    <w:rsid w:val="001002CD"/>
    <w:rsid w:val="001016FF"/>
    <w:rsid w:val="00101D1C"/>
    <w:rsid w:val="00103C97"/>
    <w:rsid w:val="00103F9F"/>
    <w:rsid w:val="00110782"/>
    <w:rsid w:val="00110D50"/>
    <w:rsid w:val="00112725"/>
    <w:rsid w:val="00112792"/>
    <w:rsid w:val="00115360"/>
    <w:rsid w:val="00116F2B"/>
    <w:rsid w:val="00123A52"/>
    <w:rsid w:val="001250BE"/>
    <w:rsid w:val="00126604"/>
    <w:rsid w:val="00126864"/>
    <w:rsid w:val="00127CDF"/>
    <w:rsid w:val="001304D0"/>
    <w:rsid w:val="001308B4"/>
    <w:rsid w:val="00131CCA"/>
    <w:rsid w:val="00140008"/>
    <w:rsid w:val="001418D6"/>
    <w:rsid w:val="00141ED6"/>
    <w:rsid w:val="00147027"/>
    <w:rsid w:val="00147162"/>
    <w:rsid w:val="00152C78"/>
    <w:rsid w:val="0015337C"/>
    <w:rsid w:val="00156A70"/>
    <w:rsid w:val="00156EC4"/>
    <w:rsid w:val="001602D9"/>
    <w:rsid w:val="001614F9"/>
    <w:rsid w:val="00162B8E"/>
    <w:rsid w:val="00167FA7"/>
    <w:rsid w:val="001759E4"/>
    <w:rsid w:val="00181DDC"/>
    <w:rsid w:val="00184CFB"/>
    <w:rsid w:val="0018505B"/>
    <w:rsid w:val="00192726"/>
    <w:rsid w:val="00193DC0"/>
    <w:rsid w:val="001950F6"/>
    <w:rsid w:val="001954D2"/>
    <w:rsid w:val="00196A5B"/>
    <w:rsid w:val="001A0B8F"/>
    <w:rsid w:val="001A49AA"/>
    <w:rsid w:val="001A672A"/>
    <w:rsid w:val="001B0335"/>
    <w:rsid w:val="001B1459"/>
    <w:rsid w:val="001B3024"/>
    <w:rsid w:val="001B49D1"/>
    <w:rsid w:val="001B7A97"/>
    <w:rsid w:val="001C2B14"/>
    <w:rsid w:val="001D7450"/>
    <w:rsid w:val="001D78BC"/>
    <w:rsid w:val="001E03EB"/>
    <w:rsid w:val="001E490C"/>
    <w:rsid w:val="001F0927"/>
    <w:rsid w:val="001F6F6E"/>
    <w:rsid w:val="00201F50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17468"/>
    <w:rsid w:val="00222920"/>
    <w:rsid w:val="00223448"/>
    <w:rsid w:val="00226605"/>
    <w:rsid w:val="00234A24"/>
    <w:rsid w:val="002358CD"/>
    <w:rsid w:val="00240A9A"/>
    <w:rsid w:val="002412EE"/>
    <w:rsid w:val="00242C76"/>
    <w:rsid w:val="00244FA9"/>
    <w:rsid w:val="00245DDD"/>
    <w:rsid w:val="00250E7D"/>
    <w:rsid w:val="002616AB"/>
    <w:rsid w:val="002638C1"/>
    <w:rsid w:val="00264837"/>
    <w:rsid w:val="00264D90"/>
    <w:rsid w:val="00264EE0"/>
    <w:rsid w:val="00277B04"/>
    <w:rsid w:val="00283988"/>
    <w:rsid w:val="0028792F"/>
    <w:rsid w:val="00292A2E"/>
    <w:rsid w:val="00294F98"/>
    <w:rsid w:val="00295FC7"/>
    <w:rsid w:val="0029649E"/>
    <w:rsid w:val="00297C73"/>
    <w:rsid w:val="002A36D3"/>
    <w:rsid w:val="002A4021"/>
    <w:rsid w:val="002A4899"/>
    <w:rsid w:val="002A4D23"/>
    <w:rsid w:val="002A4FF1"/>
    <w:rsid w:val="002A657A"/>
    <w:rsid w:val="002A67E2"/>
    <w:rsid w:val="002B1D51"/>
    <w:rsid w:val="002B1F3B"/>
    <w:rsid w:val="002B439F"/>
    <w:rsid w:val="002B5448"/>
    <w:rsid w:val="002B5968"/>
    <w:rsid w:val="002C18E0"/>
    <w:rsid w:val="002C3568"/>
    <w:rsid w:val="002C40D8"/>
    <w:rsid w:val="002C6B4C"/>
    <w:rsid w:val="002C7B6C"/>
    <w:rsid w:val="002D334A"/>
    <w:rsid w:val="002D41D3"/>
    <w:rsid w:val="002D4A79"/>
    <w:rsid w:val="002D5238"/>
    <w:rsid w:val="002D5799"/>
    <w:rsid w:val="002D66F5"/>
    <w:rsid w:val="002E1D3A"/>
    <w:rsid w:val="002E505A"/>
    <w:rsid w:val="002E5720"/>
    <w:rsid w:val="002E5C81"/>
    <w:rsid w:val="002F0B65"/>
    <w:rsid w:val="002F0ECC"/>
    <w:rsid w:val="002F2C01"/>
    <w:rsid w:val="003047F8"/>
    <w:rsid w:val="003070C4"/>
    <w:rsid w:val="00320211"/>
    <w:rsid w:val="00321514"/>
    <w:rsid w:val="00322F87"/>
    <w:rsid w:val="00325E07"/>
    <w:rsid w:val="00331993"/>
    <w:rsid w:val="00340B36"/>
    <w:rsid w:val="00340EED"/>
    <w:rsid w:val="00341ACE"/>
    <w:rsid w:val="00344BA5"/>
    <w:rsid w:val="003451A7"/>
    <w:rsid w:val="00351285"/>
    <w:rsid w:val="00351FB1"/>
    <w:rsid w:val="00352611"/>
    <w:rsid w:val="003541DD"/>
    <w:rsid w:val="00355915"/>
    <w:rsid w:val="00356165"/>
    <w:rsid w:val="00356877"/>
    <w:rsid w:val="00357E99"/>
    <w:rsid w:val="00361815"/>
    <w:rsid w:val="00363772"/>
    <w:rsid w:val="00363C8E"/>
    <w:rsid w:val="003719B6"/>
    <w:rsid w:val="00371DD5"/>
    <w:rsid w:val="00376127"/>
    <w:rsid w:val="00380BB3"/>
    <w:rsid w:val="00380D5B"/>
    <w:rsid w:val="00381AA1"/>
    <w:rsid w:val="00383590"/>
    <w:rsid w:val="003843D7"/>
    <w:rsid w:val="00384BE1"/>
    <w:rsid w:val="00390659"/>
    <w:rsid w:val="003906B2"/>
    <w:rsid w:val="00393D50"/>
    <w:rsid w:val="00394B22"/>
    <w:rsid w:val="00394F03"/>
    <w:rsid w:val="00395A91"/>
    <w:rsid w:val="0039670B"/>
    <w:rsid w:val="003A5AEA"/>
    <w:rsid w:val="003A646E"/>
    <w:rsid w:val="003A7725"/>
    <w:rsid w:val="003B6EAE"/>
    <w:rsid w:val="003B7B25"/>
    <w:rsid w:val="003C4AE3"/>
    <w:rsid w:val="003D1B42"/>
    <w:rsid w:val="003D3875"/>
    <w:rsid w:val="003D52DF"/>
    <w:rsid w:val="003E2E09"/>
    <w:rsid w:val="003E4C9E"/>
    <w:rsid w:val="003E7F28"/>
    <w:rsid w:val="003E7F8F"/>
    <w:rsid w:val="003F63C0"/>
    <w:rsid w:val="003F74CD"/>
    <w:rsid w:val="004015C2"/>
    <w:rsid w:val="00404240"/>
    <w:rsid w:val="00410BB2"/>
    <w:rsid w:val="00411245"/>
    <w:rsid w:val="00414374"/>
    <w:rsid w:val="00415E90"/>
    <w:rsid w:val="00416FD2"/>
    <w:rsid w:val="00417535"/>
    <w:rsid w:val="00420211"/>
    <w:rsid w:val="0042213E"/>
    <w:rsid w:val="00423027"/>
    <w:rsid w:val="00426773"/>
    <w:rsid w:val="00426939"/>
    <w:rsid w:val="00430D2E"/>
    <w:rsid w:val="004349A8"/>
    <w:rsid w:val="00435449"/>
    <w:rsid w:val="0043598B"/>
    <w:rsid w:val="00442A79"/>
    <w:rsid w:val="00443C43"/>
    <w:rsid w:val="00445407"/>
    <w:rsid w:val="0044617A"/>
    <w:rsid w:val="00446267"/>
    <w:rsid w:val="00453D55"/>
    <w:rsid w:val="004541DF"/>
    <w:rsid w:val="004620A3"/>
    <w:rsid w:val="00462264"/>
    <w:rsid w:val="00467154"/>
    <w:rsid w:val="00467FE5"/>
    <w:rsid w:val="00473BD3"/>
    <w:rsid w:val="00474A30"/>
    <w:rsid w:val="00475DF7"/>
    <w:rsid w:val="0048460B"/>
    <w:rsid w:val="00486F2C"/>
    <w:rsid w:val="004A0058"/>
    <w:rsid w:val="004A01C4"/>
    <w:rsid w:val="004A2D5A"/>
    <w:rsid w:val="004A40D1"/>
    <w:rsid w:val="004A5453"/>
    <w:rsid w:val="004A545B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181C"/>
    <w:rsid w:val="004E73D4"/>
    <w:rsid w:val="004E78AD"/>
    <w:rsid w:val="004F0CD9"/>
    <w:rsid w:val="004F4CED"/>
    <w:rsid w:val="004F6A61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27263"/>
    <w:rsid w:val="00537265"/>
    <w:rsid w:val="00537684"/>
    <w:rsid w:val="00541074"/>
    <w:rsid w:val="00545EBF"/>
    <w:rsid w:val="00552AA7"/>
    <w:rsid w:val="00552B48"/>
    <w:rsid w:val="005573D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449"/>
    <w:rsid w:val="005B6EA7"/>
    <w:rsid w:val="005B7233"/>
    <w:rsid w:val="005C227D"/>
    <w:rsid w:val="005C3755"/>
    <w:rsid w:val="005C5B7F"/>
    <w:rsid w:val="005C6557"/>
    <w:rsid w:val="005D1729"/>
    <w:rsid w:val="005D32F1"/>
    <w:rsid w:val="005D61EC"/>
    <w:rsid w:val="005E45AF"/>
    <w:rsid w:val="005E46B0"/>
    <w:rsid w:val="005E51FC"/>
    <w:rsid w:val="005F331D"/>
    <w:rsid w:val="0060495B"/>
    <w:rsid w:val="00604DBC"/>
    <w:rsid w:val="00605E28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3A4E"/>
    <w:rsid w:val="006241C1"/>
    <w:rsid w:val="00624857"/>
    <w:rsid w:val="006270BF"/>
    <w:rsid w:val="0062724D"/>
    <w:rsid w:val="006317CF"/>
    <w:rsid w:val="00641F3D"/>
    <w:rsid w:val="00645B72"/>
    <w:rsid w:val="006505C2"/>
    <w:rsid w:val="00651AA9"/>
    <w:rsid w:val="00651F8E"/>
    <w:rsid w:val="00652A6D"/>
    <w:rsid w:val="00654960"/>
    <w:rsid w:val="0065543F"/>
    <w:rsid w:val="006565E1"/>
    <w:rsid w:val="0065793A"/>
    <w:rsid w:val="006640EC"/>
    <w:rsid w:val="00664B88"/>
    <w:rsid w:val="00665B75"/>
    <w:rsid w:val="006721FE"/>
    <w:rsid w:val="006765D7"/>
    <w:rsid w:val="006769B4"/>
    <w:rsid w:val="0068195B"/>
    <w:rsid w:val="00681A90"/>
    <w:rsid w:val="00681D77"/>
    <w:rsid w:val="00681EE6"/>
    <w:rsid w:val="0068274B"/>
    <w:rsid w:val="00683D88"/>
    <w:rsid w:val="00684B83"/>
    <w:rsid w:val="006906C6"/>
    <w:rsid w:val="00690F2A"/>
    <w:rsid w:val="00691744"/>
    <w:rsid w:val="006951AA"/>
    <w:rsid w:val="006A24C3"/>
    <w:rsid w:val="006A79FB"/>
    <w:rsid w:val="006B4872"/>
    <w:rsid w:val="006B6106"/>
    <w:rsid w:val="006C2D75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E6FC6"/>
    <w:rsid w:val="006F49B8"/>
    <w:rsid w:val="006F610E"/>
    <w:rsid w:val="00700901"/>
    <w:rsid w:val="00702B1B"/>
    <w:rsid w:val="007066E1"/>
    <w:rsid w:val="00707496"/>
    <w:rsid w:val="007111AC"/>
    <w:rsid w:val="007147D4"/>
    <w:rsid w:val="007149BA"/>
    <w:rsid w:val="00714ABB"/>
    <w:rsid w:val="007154BD"/>
    <w:rsid w:val="00715E25"/>
    <w:rsid w:val="00716E16"/>
    <w:rsid w:val="007212E9"/>
    <w:rsid w:val="0072389C"/>
    <w:rsid w:val="0072749C"/>
    <w:rsid w:val="0073293F"/>
    <w:rsid w:val="0073436E"/>
    <w:rsid w:val="00740A8D"/>
    <w:rsid w:val="00741AF1"/>
    <w:rsid w:val="00741B0B"/>
    <w:rsid w:val="007431E4"/>
    <w:rsid w:val="00746221"/>
    <w:rsid w:val="00755BD6"/>
    <w:rsid w:val="0076082E"/>
    <w:rsid w:val="00760A0D"/>
    <w:rsid w:val="00760BEF"/>
    <w:rsid w:val="00761024"/>
    <w:rsid w:val="007649B5"/>
    <w:rsid w:val="007649EA"/>
    <w:rsid w:val="00764CBB"/>
    <w:rsid w:val="00770FC8"/>
    <w:rsid w:val="00772E97"/>
    <w:rsid w:val="007736E6"/>
    <w:rsid w:val="00774370"/>
    <w:rsid w:val="00776B33"/>
    <w:rsid w:val="0078052A"/>
    <w:rsid w:val="007817C8"/>
    <w:rsid w:val="007846DD"/>
    <w:rsid w:val="00795D96"/>
    <w:rsid w:val="00796AA0"/>
    <w:rsid w:val="007A1B5F"/>
    <w:rsid w:val="007A32DC"/>
    <w:rsid w:val="007A461A"/>
    <w:rsid w:val="007A49D7"/>
    <w:rsid w:val="007A4BA2"/>
    <w:rsid w:val="007A4E12"/>
    <w:rsid w:val="007A5477"/>
    <w:rsid w:val="007B2450"/>
    <w:rsid w:val="007B4924"/>
    <w:rsid w:val="007B61E6"/>
    <w:rsid w:val="007B6EE8"/>
    <w:rsid w:val="007C2566"/>
    <w:rsid w:val="007C3120"/>
    <w:rsid w:val="007C7DAD"/>
    <w:rsid w:val="007D3272"/>
    <w:rsid w:val="007D40EA"/>
    <w:rsid w:val="007D4D85"/>
    <w:rsid w:val="007E1114"/>
    <w:rsid w:val="007E4318"/>
    <w:rsid w:val="007F7679"/>
    <w:rsid w:val="007F76A4"/>
    <w:rsid w:val="00801898"/>
    <w:rsid w:val="00805518"/>
    <w:rsid w:val="00805DD6"/>
    <w:rsid w:val="0080637A"/>
    <w:rsid w:val="0080781F"/>
    <w:rsid w:val="00810421"/>
    <w:rsid w:val="00811C67"/>
    <w:rsid w:val="00824D26"/>
    <w:rsid w:val="0082599F"/>
    <w:rsid w:val="008262A5"/>
    <w:rsid w:val="00832752"/>
    <w:rsid w:val="008353D2"/>
    <w:rsid w:val="0083645B"/>
    <w:rsid w:val="0084020D"/>
    <w:rsid w:val="00841146"/>
    <w:rsid w:val="00841264"/>
    <w:rsid w:val="00843663"/>
    <w:rsid w:val="00845853"/>
    <w:rsid w:val="00847E1E"/>
    <w:rsid w:val="00850047"/>
    <w:rsid w:val="00854645"/>
    <w:rsid w:val="00855B00"/>
    <w:rsid w:val="00860167"/>
    <w:rsid w:val="00863A31"/>
    <w:rsid w:val="00865BBC"/>
    <w:rsid w:val="00866F39"/>
    <w:rsid w:val="00870BB3"/>
    <w:rsid w:val="008733DF"/>
    <w:rsid w:val="0087345C"/>
    <w:rsid w:val="008747EB"/>
    <w:rsid w:val="0087489C"/>
    <w:rsid w:val="008757E5"/>
    <w:rsid w:val="008776EE"/>
    <w:rsid w:val="008815CB"/>
    <w:rsid w:val="00883ADC"/>
    <w:rsid w:val="00885745"/>
    <w:rsid w:val="00885A97"/>
    <w:rsid w:val="00887D7B"/>
    <w:rsid w:val="008919A3"/>
    <w:rsid w:val="00892BEC"/>
    <w:rsid w:val="00895627"/>
    <w:rsid w:val="00895C07"/>
    <w:rsid w:val="00897D77"/>
    <w:rsid w:val="008A0B55"/>
    <w:rsid w:val="008A210B"/>
    <w:rsid w:val="008A782A"/>
    <w:rsid w:val="008B0ABD"/>
    <w:rsid w:val="008B2348"/>
    <w:rsid w:val="008B31A9"/>
    <w:rsid w:val="008B66C9"/>
    <w:rsid w:val="008B7B9A"/>
    <w:rsid w:val="008C247C"/>
    <w:rsid w:val="008C2C58"/>
    <w:rsid w:val="008C2FE2"/>
    <w:rsid w:val="008C72D1"/>
    <w:rsid w:val="008C7E67"/>
    <w:rsid w:val="008D0D84"/>
    <w:rsid w:val="008D1084"/>
    <w:rsid w:val="008D2C3D"/>
    <w:rsid w:val="008D4C53"/>
    <w:rsid w:val="008D7A09"/>
    <w:rsid w:val="008D7F42"/>
    <w:rsid w:val="008E3C59"/>
    <w:rsid w:val="008E4359"/>
    <w:rsid w:val="008E4984"/>
    <w:rsid w:val="008E688D"/>
    <w:rsid w:val="008F21EF"/>
    <w:rsid w:val="008F22DB"/>
    <w:rsid w:val="008F35AC"/>
    <w:rsid w:val="008F3639"/>
    <w:rsid w:val="008F3E38"/>
    <w:rsid w:val="008F643C"/>
    <w:rsid w:val="008F69AB"/>
    <w:rsid w:val="00901DBF"/>
    <w:rsid w:val="00902FA4"/>
    <w:rsid w:val="00903768"/>
    <w:rsid w:val="0090485F"/>
    <w:rsid w:val="00904F4D"/>
    <w:rsid w:val="00905695"/>
    <w:rsid w:val="00906434"/>
    <w:rsid w:val="00910019"/>
    <w:rsid w:val="00914B32"/>
    <w:rsid w:val="00914F21"/>
    <w:rsid w:val="0091661B"/>
    <w:rsid w:val="00923F6A"/>
    <w:rsid w:val="00925CE8"/>
    <w:rsid w:val="00927FAB"/>
    <w:rsid w:val="00930775"/>
    <w:rsid w:val="00931203"/>
    <w:rsid w:val="00932DD5"/>
    <w:rsid w:val="00943D79"/>
    <w:rsid w:val="00944667"/>
    <w:rsid w:val="00946046"/>
    <w:rsid w:val="00947272"/>
    <w:rsid w:val="009475E8"/>
    <w:rsid w:val="00947DDC"/>
    <w:rsid w:val="00951116"/>
    <w:rsid w:val="00952F64"/>
    <w:rsid w:val="009534B3"/>
    <w:rsid w:val="00956A45"/>
    <w:rsid w:val="00960CFC"/>
    <w:rsid w:val="00962AB9"/>
    <w:rsid w:val="00963AA9"/>
    <w:rsid w:val="00971D25"/>
    <w:rsid w:val="009726DE"/>
    <w:rsid w:val="00972CF7"/>
    <w:rsid w:val="009761FB"/>
    <w:rsid w:val="009769B9"/>
    <w:rsid w:val="00980327"/>
    <w:rsid w:val="0098206A"/>
    <w:rsid w:val="009825A6"/>
    <w:rsid w:val="009862F4"/>
    <w:rsid w:val="00987B84"/>
    <w:rsid w:val="00993AC3"/>
    <w:rsid w:val="00993ACA"/>
    <w:rsid w:val="00995500"/>
    <w:rsid w:val="00996796"/>
    <w:rsid w:val="009A0BF5"/>
    <w:rsid w:val="009B2035"/>
    <w:rsid w:val="009B5CC0"/>
    <w:rsid w:val="009C73A4"/>
    <w:rsid w:val="009D1301"/>
    <w:rsid w:val="009D4820"/>
    <w:rsid w:val="009D4F23"/>
    <w:rsid w:val="009D7C13"/>
    <w:rsid w:val="009E0A34"/>
    <w:rsid w:val="009E241A"/>
    <w:rsid w:val="009E2D0F"/>
    <w:rsid w:val="009E3667"/>
    <w:rsid w:val="009E3F7B"/>
    <w:rsid w:val="009F0EAA"/>
    <w:rsid w:val="009F1FCE"/>
    <w:rsid w:val="00A017C0"/>
    <w:rsid w:val="00A01B55"/>
    <w:rsid w:val="00A05515"/>
    <w:rsid w:val="00A07748"/>
    <w:rsid w:val="00A1102D"/>
    <w:rsid w:val="00A113E9"/>
    <w:rsid w:val="00A15C66"/>
    <w:rsid w:val="00A17CD1"/>
    <w:rsid w:val="00A25777"/>
    <w:rsid w:val="00A26AE9"/>
    <w:rsid w:val="00A26B7B"/>
    <w:rsid w:val="00A3109E"/>
    <w:rsid w:val="00A32A9F"/>
    <w:rsid w:val="00A3636C"/>
    <w:rsid w:val="00A37019"/>
    <w:rsid w:val="00A37AC7"/>
    <w:rsid w:val="00A37FA7"/>
    <w:rsid w:val="00A41681"/>
    <w:rsid w:val="00A51AB9"/>
    <w:rsid w:val="00A53D60"/>
    <w:rsid w:val="00A573A9"/>
    <w:rsid w:val="00A64406"/>
    <w:rsid w:val="00A66776"/>
    <w:rsid w:val="00A66C6C"/>
    <w:rsid w:val="00A66DAF"/>
    <w:rsid w:val="00A671BE"/>
    <w:rsid w:val="00A678C9"/>
    <w:rsid w:val="00A719C0"/>
    <w:rsid w:val="00A73453"/>
    <w:rsid w:val="00A74960"/>
    <w:rsid w:val="00A76EA8"/>
    <w:rsid w:val="00A7709D"/>
    <w:rsid w:val="00A805C0"/>
    <w:rsid w:val="00A82553"/>
    <w:rsid w:val="00A83450"/>
    <w:rsid w:val="00A83912"/>
    <w:rsid w:val="00A83D65"/>
    <w:rsid w:val="00A84028"/>
    <w:rsid w:val="00A849C1"/>
    <w:rsid w:val="00A865FD"/>
    <w:rsid w:val="00AA260A"/>
    <w:rsid w:val="00AA4FA6"/>
    <w:rsid w:val="00AA580B"/>
    <w:rsid w:val="00AB1175"/>
    <w:rsid w:val="00AB199D"/>
    <w:rsid w:val="00AB62D0"/>
    <w:rsid w:val="00AC04C1"/>
    <w:rsid w:val="00AC37DB"/>
    <w:rsid w:val="00AC4613"/>
    <w:rsid w:val="00AC57A6"/>
    <w:rsid w:val="00AC6228"/>
    <w:rsid w:val="00AC77B7"/>
    <w:rsid w:val="00AD1B3E"/>
    <w:rsid w:val="00AD1CE9"/>
    <w:rsid w:val="00AD4A3B"/>
    <w:rsid w:val="00AD6898"/>
    <w:rsid w:val="00AD7345"/>
    <w:rsid w:val="00AD7DAA"/>
    <w:rsid w:val="00AE1196"/>
    <w:rsid w:val="00AE27B1"/>
    <w:rsid w:val="00AE48BB"/>
    <w:rsid w:val="00AE5E13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259C2"/>
    <w:rsid w:val="00B324F1"/>
    <w:rsid w:val="00B33E3A"/>
    <w:rsid w:val="00B34238"/>
    <w:rsid w:val="00B35538"/>
    <w:rsid w:val="00B37B24"/>
    <w:rsid w:val="00B37C45"/>
    <w:rsid w:val="00B4726D"/>
    <w:rsid w:val="00B509A7"/>
    <w:rsid w:val="00B525A8"/>
    <w:rsid w:val="00B56BFE"/>
    <w:rsid w:val="00B63528"/>
    <w:rsid w:val="00B6379C"/>
    <w:rsid w:val="00B67EA7"/>
    <w:rsid w:val="00B70450"/>
    <w:rsid w:val="00B7151A"/>
    <w:rsid w:val="00B73485"/>
    <w:rsid w:val="00B76180"/>
    <w:rsid w:val="00B77616"/>
    <w:rsid w:val="00B7783E"/>
    <w:rsid w:val="00B8116D"/>
    <w:rsid w:val="00B93DE5"/>
    <w:rsid w:val="00B94770"/>
    <w:rsid w:val="00BA643E"/>
    <w:rsid w:val="00BA7334"/>
    <w:rsid w:val="00BB19A8"/>
    <w:rsid w:val="00BB3600"/>
    <w:rsid w:val="00BB5F49"/>
    <w:rsid w:val="00BB7242"/>
    <w:rsid w:val="00BC7651"/>
    <w:rsid w:val="00BD489F"/>
    <w:rsid w:val="00BD5666"/>
    <w:rsid w:val="00BD58F0"/>
    <w:rsid w:val="00BE24FC"/>
    <w:rsid w:val="00BE3752"/>
    <w:rsid w:val="00BE3835"/>
    <w:rsid w:val="00BE4268"/>
    <w:rsid w:val="00BE43FE"/>
    <w:rsid w:val="00BF0B91"/>
    <w:rsid w:val="00C005C8"/>
    <w:rsid w:val="00C04E0E"/>
    <w:rsid w:val="00C055C8"/>
    <w:rsid w:val="00C136D9"/>
    <w:rsid w:val="00C1563B"/>
    <w:rsid w:val="00C16A9C"/>
    <w:rsid w:val="00C20E8F"/>
    <w:rsid w:val="00C23DEF"/>
    <w:rsid w:val="00C2560F"/>
    <w:rsid w:val="00C26DA0"/>
    <w:rsid w:val="00C30285"/>
    <w:rsid w:val="00C315A4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164F"/>
    <w:rsid w:val="00C7323B"/>
    <w:rsid w:val="00C7366C"/>
    <w:rsid w:val="00C741F8"/>
    <w:rsid w:val="00C7589D"/>
    <w:rsid w:val="00C77969"/>
    <w:rsid w:val="00C77E42"/>
    <w:rsid w:val="00C80F13"/>
    <w:rsid w:val="00C81F23"/>
    <w:rsid w:val="00C94C2C"/>
    <w:rsid w:val="00C96386"/>
    <w:rsid w:val="00CB0D7C"/>
    <w:rsid w:val="00CB155F"/>
    <w:rsid w:val="00CC2ACB"/>
    <w:rsid w:val="00CC65BF"/>
    <w:rsid w:val="00CD4A59"/>
    <w:rsid w:val="00CD5329"/>
    <w:rsid w:val="00CE291A"/>
    <w:rsid w:val="00CE3413"/>
    <w:rsid w:val="00CE440F"/>
    <w:rsid w:val="00CE7AEC"/>
    <w:rsid w:val="00CF04A0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251D"/>
    <w:rsid w:val="00D1756A"/>
    <w:rsid w:val="00D20059"/>
    <w:rsid w:val="00D20D67"/>
    <w:rsid w:val="00D21680"/>
    <w:rsid w:val="00D26226"/>
    <w:rsid w:val="00D2677E"/>
    <w:rsid w:val="00D308B5"/>
    <w:rsid w:val="00D322C8"/>
    <w:rsid w:val="00D34426"/>
    <w:rsid w:val="00D400C8"/>
    <w:rsid w:val="00D40774"/>
    <w:rsid w:val="00D4400F"/>
    <w:rsid w:val="00D504AE"/>
    <w:rsid w:val="00D50EFA"/>
    <w:rsid w:val="00D52451"/>
    <w:rsid w:val="00D544EB"/>
    <w:rsid w:val="00D54A84"/>
    <w:rsid w:val="00D56314"/>
    <w:rsid w:val="00D567B3"/>
    <w:rsid w:val="00D70804"/>
    <w:rsid w:val="00D71E7C"/>
    <w:rsid w:val="00D73247"/>
    <w:rsid w:val="00D81E00"/>
    <w:rsid w:val="00D87456"/>
    <w:rsid w:val="00D95FEE"/>
    <w:rsid w:val="00DA39BF"/>
    <w:rsid w:val="00DB0D23"/>
    <w:rsid w:val="00DB13AD"/>
    <w:rsid w:val="00DB2232"/>
    <w:rsid w:val="00DB4CC8"/>
    <w:rsid w:val="00DB5B26"/>
    <w:rsid w:val="00DB6971"/>
    <w:rsid w:val="00DE0E51"/>
    <w:rsid w:val="00DE1452"/>
    <w:rsid w:val="00DE3D9A"/>
    <w:rsid w:val="00DE62B6"/>
    <w:rsid w:val="00DE65FC"/>
    <w:rsid w:val="00DE6949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169F1"/>
    <w:rsid w:val="00E22459"/>
    <w:rsid w:val="00E36DE3"/>
    <w:rsid w:val="00E3731B"/>
    <w:rsid w:val="00E437DC"/>
    <w:rsid w:val="00E5270D"/>
    <w:rsid w:val="00E5587A"/>
    <w:rsid w:val="00E62CDE"/>
    <w:rsid w:val="00E62D89"/>
    <w:rsid w:val="00E778D5"/>
    <w:rsid w:val="00E828F0"/>
    <w:rsid w:val="00E844DC"/>
    <w:rsid w:val="00E847DD"/>
    <w:rsid w:val="00E90F79"/>
    <w:rsid w:val="00E92F2E"/>
    <w:rsid w:val="00E935C6"/>
    <w:rsid w:val="00E94AEE"/>
    <w:rsid w:val="00EA7000"/>
    <w:rsid w:val="00EB0A31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D6BE5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EF1A0B"/>
    <w:rsid w:val="00F008CD"/>
    <w:rsid w:val="00F00EB5"/>
    <w:rsid w:val="00F0195D"/>
    <w:rsid w:val="00F04658"/>
    <w:rsid w:val="00F0482E"/>
    <w:rsid w:val="00F071E9"/>
    <w:rsid w:val="00F109F1"/>
    <w:rsid w:val="00F132CE"/>
    <w:rsid w:val="00F13570"/>
    <w:rsid w:val="00F140F3"/>
    <w:rsid w:val="00F17253"/>
    <w:rsid w:val="00F2275A"/>
    <w:rsid w:val="00F2638A"/>
    <w:rsid w:val="00F31616"/>
    <w:rsid w:val="00F31F2B"/>
    <w:rsid w:val="00F3389B"/>
    <w:rsid w:val="00F35630"/>
    <w:rsid w:val="00F4197B"/>
    <w:rsid w:val="00F41E5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65D6E"/>
    <w:rsid w:val="00F71E08"/>
    <w:rsid w:val="00F732E1"/>
    <w:rsid w:val="00F76BC7"/>
    <w:rsid w:val="00F86185"/>
    <w:rsid w:val="00F9231E"/>
    <w:rsid w:val="00F96024"/>
    <w:rsid w:val="00F96030"/>
    <w:rsid w:val="00FA457E"/>
    <w:rsid w:val="00FA5E0A"/>
    <w:rsid w:val="00FA7319"/>
    <w:rsid w:val="00FB0F5F"/>
    <w:rsid w:val="00FB112F"/>
    <w:rsid w:val="00FB514F"/>
    <w:rsid w:val="00FB5916"/>
    <w:rsid w:val="00FC1571"/>
    <w:rsid w:val="00FC19D7"/>
    <w:rsid w:val="00FC1FE6"/>
    <w:rsid w:val="00FC253A"/>
    <w:rsid w:val="00FC5C50"/>
    <w:rsid w:val="00FD1AE8"/>
    <w:rsid w:val="00FD5058"/>
    <w:rsid w:val="00FD7F1B"/>
    <w:rsid w:val="00FE5D03"/>
    <w:rsid w:val="00FF2CEB"/>
    <w:rsid w:val="00FF4424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D27B7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48.bin"/><Relationship Id="rId21" Type="http://schemas.openxmlformats.org/officeDocument/2006/relationships/oleObject" Target="embeddings/oleObject7.bin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4.bin"/><Relationship Id="rId84" Type="http://schemas.openxmlformats.org/officeDocument/2006/relationships/oleObject" Target="embeddings/oleObject34.bin"/><Relationship Id="rId138" Type="http://schemas.openxmlformats.org/officeDocument/2006/relationships/image" Target="media/image77.png"/><Relationship Id="rId16" Type="http://schemas.openxmlformats.org/officeDocument/2006/relationships/image" Target="media/image6.png"/><Relationship Id="rId107" Type="http://schemas.openxmlformats.org/officeDocument/2006/relationships/image" Target="media/image59.wmf"/><Relationship Id="rId11" Type="http://schemas.openxmlformats.org/officeDocument/2006/relationships/oleObject" Target="embeddings/oleObject3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8.png"/><Relationship Id="rId53" Type="http://schemas.openxmlformats.org/officeDocument/2006/relationships/image" Target="media/image29.wmf"/><Relationship Id="rId58" Type="http://schemas.openxmlformats.org/officeDocument/2006/relationships/oleObject" Target="embeddings/oleObject22.bin"/><Relationship Id="rId74" Type="http://schemas.openxmlformats.org/officeDocument/2006/relationships/image" Target="media/image40.png"/><Relationship Id="rId79" Type="http://schemas.openxmlformats.org/officeDocument/2006/relationships/image" Target="media/image43.wmf"/><Relationship Id="rId102" Type="http://schemas.openxmlformats.org/officeDocument/2006/relationships/image" Target="media/image55.png"/><Relationship Id="rId123" Type="http://schemas.openxmlformats.org/officeDocument/2006/relationships/oleObject" Target="embeddings/oleObject51.bin"/><Relationship Id="rId128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oleObject" Target="embeddings/oleObject37.bin"/><Relationship Id="rId95" Type="http://schemas.openxmlformats.org/officeDocument/2006/relationships/image" Target="media/image51.wmf"/><Relationship Id="rId22" Type="http://schemas.openxmlformats.org/officeDocument/2006/relationships/image" Target="media/image10.png"/><Relationship Id="rId27" Type="http://schemas.openxmlformats.org/officeDocument/2006/relationships/image" Target="media/image13.wmf"/><Relationship Id="rId43" Type="http://schemas.openxmlformats.org/officeDocument/2006/relationships/image" Target="media/image23.wmf"/><Relationship Id="rId48" Type="http://schemas.openxmlformats.org/officeDocument/2006/relationships/oleObject" Target="embeddings/oleObject17.bin"/><Relationship Id="rId64" Type="http://schemas.openxmlformats.org/officeDocument/2006/relationships/image" Target="media/image35.wmf"/><Relationship Id="rId69" Type="http://schemas.openxmlformats.org/officeDocument/2006/relationships/oleObject" Target="embeddings/oleObject27.bin"/><Relationship Id="rId113" Type="http://schemas.openxmlformats.org/officeDocument/2006/relationships/oleObject" Target="embeddings/oleObject46.bin"/><Relationship Id="rId118" Type="http://schemas.openxmlformats.org/officeDocument/2006/relationships/image" Target="media/image65.wmf"/><Relationship Id="rId134" Type="http://schemas.openxmlformats.org/officeDocument/2006/relationships/image" Target="media/image75.wmf"/><Relationship Id="rId139" Type="http://schemas.openxmlformats.org/officeDocument/2006/relationships/fontTable" Target="fontTable.xml"/><Relationship Id="rId80" Type="http://schemas.openxmlformats.org/officeDocument/2006/relationships/oleObject" Target="embeddings/oleObject32.bin"/><Relationship Id="rId85" Type="http://schemas.openxmlformats.org/officeDocument/2006/relationships/image" Target="media/image46.wmf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33" Type="http://schemas.openxmlformats.org/officeDocument/2006/relationships/image" Target="media/image16.wmf"/><Relationship Id="rId38" Type="http://schemas.openxmlformats.org/officeDocument/2006/relationships/image" Target="media/image19.png"/><Relationship Id="rId59" Type="http://schemas.openxmlformats.org/officeDocument/2006/relationships/image" Target="media/image32.wmf"/><Relationship Id="rId103" Type="http://schemas.openxmlformats.org/officeDocument/2006/relationships/image" Target="media/image56.wmf"/><Relationship Id="rId108" Type="http://schemas.openxmlformats.org/officeDocument/2006/relationships/oleObject" Target="embeddings/oleObject44.bin"/><Relationship Id="rId124" Type="http://schemas.openxmlformats.org/officeDocument/2006/relationships/image" Target="media/image68.wmf"/><Relationship Id="rId129" Type="http://schemas.openxmlformats.org/officeDocument/2006/relationships/image" Target="media/image72.png"/><Relationship Id="rId54" Type="http://schemas.openxmlformats.org/officeDocument/2006/relationships/oleObject" Target="embeddings/oleObject20.bin"/><Relationship Id="rId70" Type="http://schemas.openxmlformats.org/officeDocument/2006/relationships/image" Target="media/image38.wmf"/><Relationship Id="rId75" Type="http://schemas.openxmlformats.org/officeDocument/2006/relationships/image" Target="media/image41.wmf"/><Relationship Id="rId91" Type="http://schemas.openxmlformats.org/officeDocument/2006/relationships/image" Target="media/image49.wmf"/><Relationship Id="rId96" Type="http://schemas.openxmlformats.org/officeDocument/2006/relationships/oleObject" Target="embeddings/oleObject40.bin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11.wmf"/><Relationship Id="rId28" Type="http://schemas.openxmlformats.org/officeDocument/2006/relationships/oleObject" Target="embeddings/oleObject10.bin"/><Relationship Id="rId49" Type="http://schemas.openxmlformats.org/officeDocument/2006/relationships/image" Target="media/image27.wmf"/><Relationship Id="rId114" Type="http://schemas.openxmlformats.org/officeDocument/2006/relationships/image" Target="media/image63.wmf"/><Relationship Id="rId119" Type="http://schemas.openxmlformats.org/officeDocument/2006/relationships/oleObject" Target="embeddings/oleObject49.bin"/><Relationship Id="rId44" Type="http://schemas.openxmlformats.org/officeDocument/2006/relationships/oleObject" Target="embeddings/oleObject16.bin"/><Relationship Id="rId60" Type="http://schemas.openxmlformats.org/officeDocument/2006/relationships/oleObject" Target="embeddings/oleObject23.bin"/><Relationship Id="rId65" Type="http://schemas.openxmlformats.org/officeDocument/2006/relationships/oleObject" Target="embeddings/oleObject25.bin"/><Relationship Id="rId81" Type="http://schemas.openxmlformats.org/officeDocument/2006/relationships/image" Target="media/image44.wmf"/><Relationship Id="rId86" Type="http://schemas.openxmlformats.org/officeDocument/2006/relationships/oleObject" Target="embeddings/oleObject35.bin"/><Relationship Id="rId130" Type="http://schemas.openxmlformats.org/officeDocument/2006/relationships/image" Target="media/image73.wmf"/><Relationship Id="rId135" Type="http://schemas.openxmlformats.org/officeDocument/2006/relationships/oleObject" Target="embeddings/oleObject55.bin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39" Type="http://schemas.openxmlformats.org/officeDocument/2006/relationships/image" Target="media/image20.png"/><Relationship Id="rId109" Type="http://schemas.openxmlformats.org/officeDocument/2006/relationships/image" Target="media/image60.wmf"/><Relationship Id="rId34" Type="http://schemas.openxmlformats.org/officeDocument/2006/relationships/oleObject" Target="embeddings/oleObject13.bin"/><Relationship Id="rId50" Type="http://schemas.openxmlformats.org/officeDocument/2006/relationships/oleObject" Target="embeddings/oleObject18.bin"/><Relationship Id="rId55" Type="http://schemas.openxmlformats.org/officeDocument/2006/relationships/image" Target="media/image30.wmf"/><Relationship Id="rId76" Type="http://schemas.openxmlformats.org/officeDocument/2006/relationships/oleObject" Target="embeddings/oleObject30.bin"/><Relationship Id="rId97" Type="http://schemas.openxmlformats.org/officeDocument/2006/relationships/image" Target="media/image52.wmf"/><Relationship Id="rId104" Type="http://schemas.openxmlformats.org/officeDocument/2006/relationships/oleObject" Target="embeddings/oleObject43.bin"/><Relationship Id="rId120" Type="http://schemas.openxmlformats.org/officeDocument/2006/relationships/image" Target="media/image66.wmf"/><Relationship Id="rId125" Type="http://schemas.openxmlformats.org/officeDocument/2006/relationships/oleObject" Target="embeddings/oleObject52.bin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28.bin"/><Relationship Id="rId92" Type="http://schemas.openxmlformats.org/officeDocument/2006/relationships/oleObject" Target="embeddings/oleObject38.bin"/><Relationship Id="rId2" Type="http://schemas.openxmlformats.org/officeDocument/2006/relationships/numbering" Target="numbering.xml"/><Relationship Id="rId29" Type="http://schemas.openxmlformats.org/officeDocument/2006/relationships/image" Target="media/image14.wmf"/><Relationship Id="rId24" Type="http://schemas.openxmlformats.org/officeDocument/2006/relationships/oleObject" Target="embeddings/oleObject8.bin"/><Relationship Id="rId40" Type="http://schemas.openxmlformats.org/officeDocument/2006/relationships/image" Target="media/image21.png"/><Relationship Id="rId45" Type="http://schemas.openxmlformats.org/officeDocument/2006/relationships/image" Target="media/image24.png"/><Relationship Id="rId66" Type="http://schemas.openxmlformats.org/officeDocument/2006/relationships/image" Target="media/image36.wmf"/><Relationship Id="rId87" Type="http://schemas.openxmlformats.org/officeDocument/2006/relationships/image" Target="media/image47.wmf"/><Relationship Id="rId110" Type="http://schemas.openxmlformats.org/officeDocument/2006/relationships/oleObject" Target="embeddings/oleObject45.bin"/><Relationship Id="rId115" Type="http://schemas.openxmlformats.org/officeDocument/2006/relationships/oleObject" Target="embeddings/oleObject47.bin"/><Relationship Id="rId131" Type="http://schemas.openxmlformats.org/officeDocument/2006/relationships/oleObject" Target="embeddings/oleObject53.bin"/><Relationship Id="rId136" Type="http://schemas.openxmlformats.org/officeDocument/2006/relationships/image" Target="media/image76.wmf"/><Relationship Id="rId61" Type="http://schemas.openxmlformats.org/officeDocument/2006/relationships/image" Target="media/image33.png"/><Relationship Id="rId82" Type="http://schemas.openxmlformats.org/officeDocument/2006/relationships/oleObject" Target="embeddings/oleObject33.bin"/><Relationship Id="rId19" Type="http://schemas.openxmlformats.org/officeDocument/2006/relationships/image" Target="media/image8.png"/><Relationship Id="rId14" Type="http://schemas.openxmlformats.org/officeDocument/2006/relationships/image" Target="media/image5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7.wmf"/><Relationship Id="rId56" Type="http://schemas.openxmlformats.org/officeDocument/2006/relationships/oleObject" Target="embeddings/oleObject21.bin"/><Relationship Id="rId77" Type="http://schemas.openxmlformats.org/officeDocument/2006/relationships/image" Target="media/image42.wmf"/><Relationship Id="rId100" Type="http://schemas.openxmlformats.org/officeDocument/2006/relationships/oleObject" Target="embeddings/oleObject42.bin"/><Relationship Id="rId105" Type="http://schemas.openxmlformats.org/officeDocument/2006/relationships/image" Target="media/image57.png"/><Relationship Id="rId126" Type="http://schemas.openxmlformats.org/officeDocument/2006/relationships/image" Target="media/image69.png"/><Relationship Id="rId8" Type="http://schemas.openxmlformats.org/officeDocument/2006/relationships/image" Target="media/image2.wmf"/><Relationship Id="rId51" Type="http://schemas.openxmlformats.org/officeDocument/2006/relationships/image" Target="media/image28.wmf"/><Relationship Id="rId72" Type="http://schemas.openxmlformats.org/officeDocument/2006/relationships/image" Target="media/image39.wmf"/><Relationship Id="rId93" Type="http://schemas.openxmlformats.org/officeDocument/2006/relationships/image" Target="media/image50.wmf"/><Relationship Id="rId98" Type="http://schemas.openxmlformats.org/officeDocument/2006/relationships/oleObject" Target="embeddings/oleObject41.bin"/><Relationship Id="rId121" Type="http://schemas.openxmlformats.org/officeDocument/2006/relationships/oleObject" Target="embeddings/oleObject50.bin"/><Relationship Id="rId3" Type="http://schemas.openxmlformats.org/officeDocument/2006/relationships/styles" Target="styles.xml"/><Relationship Id="rId25" Type="http://schemas.openxmlformats.org/officeDocument/2006/relationships/image" Target="media/image12.wmf"/><Relationship Id="rId46" Type="http://schemas.openxmlformats.org/officeDocument/2006/relationships/image" Target="media/image25.png"/><Relationship Id="rId67" Type="http://schemas.openxmlformats.org/officeDocument/2006/relationships/oleObject" Target="embeddings/oleObject26.bin"/><Relationship Id="rId116" Type="http://schemas.openxmlformats.org/officeDocument/2006/relationships/image" Target="media/image64.wmf"/><Relationship Id="rId137" Type="http://schemas.openxmlformats.org/officeDocument/2006/relationships/oleObject" Target="embeddings/oleObject56.bin"/><Relationship Id="rId20" Type="http://schemas.openxmlformats.org/officeDocument/2006/relationships/image" Target="media/image9.wmf"/><Relationship Id="rId41" Type="http://schemas.openxmlformats.org/officeDocument/2006/relationships/image" Target="media/image22.wmf"/><Relationship Id="rId62" Type="http://schemas.openxmlformats.org/officeDocument/2006/relationships/image" Target="media/image34.wmf"/><Relationship Id="rId83" Type="http://schemas.openxmlformats.org/officeDocument/2006/relationships/image" Target="media/image45.wmf"/><Relationship Id="rId88" Type="http://schemas.openxmlformats.org/officeDocument/2006/relationships/oleObject" Target="embeddings/oleObject36.bin"/><Relationship Id="rId111" Type="http://schemas.openxmlformats.org/officeDocument/2006/relationships/image" Target="media/image61.png"/><Relationship Id="rId132" Type="http://schemas.openxmlformats.org/officeDocument/2006/relationships/image" Target="media/image74.wmf"/><Relationship Id="rId15" Type="http://schemas.openxmlformats.org/officeDocument/2006/relationships/oleObject" Target="embeddings/oleObject5.bin"/><Relationship Id="rId36" Type="http://schemas.openxmlformats.org/officeDocument/2006/relationships/oleObject" Target="embeddings/oleObject14.bin"/><Relationship Id="rId57" Type="http://schemas.openxmlformats.org/officeDocument/2006/relationships/image" Target="media/image31.wmf"/><Relationship Id="rId106" Type="http://schemas.openxmlformats.org/officeDocument/2006/relationships/image" Target="media/image58.png"/><Relationship Id="rId127" Type="http://schemas.openxmlformats.org/officeDocument/2006/relationships/image" Target="media/image70.png"/><Relationship Id="rId10" Type="http://schemas.openxmlformats.org/officeDocument/2006/relationships/image" Target="media/image3.wmf"/><Relationship Id="rId31" Type="http://schemas.openxmlformats.org/officeDocument/2006/relationships/image" Target="media/image15.wmf"/><Relationship Id="rId52" Type="http://schemas.openxmlformats.org/officeDocument/2006/relationships/oleObject" Target="embeddings/oleObject19.bin"/><Relationship Id="rId73" Type="http://schemas.openxmlformats.org/officeDocument/2006/relationships/oleObject" Target="embeddings/oleObject29.bin"/><Relationship Id="rId78" Type="http://schemas.openxmlformats.org/officeDocument/2006/relationships/oleObject" Target="embeddings/oleObject31.bin"/><Relationship Id="rId94" Type="http://schemas.openxmlformats.org/officeDocument/2006/relationships/oleObject" Target="embeddings/oleObject39.bin"/><Relationship Id="rId99" Type="http://schemas.openxmlformats.org/officeDocument/2006/relationships/image" Target="media/image53.wmf"/><Relationship Id="rId101" Type="http://schemas.openxmlformats.org/officeDocument/2006/relationships/image" Target="media/image54.png"/><Relationship Id="rId122" Type="http://schemas.openxmlformats.org/officeDocument/2006/relationships/image" Target="media/image67.wmf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oleObject" Target="embeddings/oleObject9.bin"/><Relationship Id="rId47" Type="http://schemas.openxmlformats.org/officeDocument/2006/relationships/image" Target="media/image26.wmf"/><Relationship Id="rId68" Type="http://schemas.openxmlformats.org/officeDocument/2006/relationships/image" Target="media/image37.wmf"/><Relationship Id="rId89" Type="http://schemas.openxmlformats.org/officeDocument/2006/relationships/image" Target="media/image48.wmf"/><Relationship Id="rId112" Type="http://schemas.openxmlformats.org/officeDocument/2006/relationships/image" Target="media/image62.wmf"/><Relationship Id="rId133" Type="http://schemas.openxmlformats.org/officeDocument/2006/relationships/oleObject" Target="embeddings/oleObject5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2672</TotalTime>
  <Pages>87</Pages>
  <Words>18692</Words>
  <Characters>106550</Characters>
  <Application>Microsoft Office Word</Application>
  <DocSecurity>0</DocSecurity>
  <Lines>887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814</cp:revision>
  <dcterms:created xsi:type="dcterms:W3CDTF">2026-03-08T09:35:00Z</dcterms:created>
  <dcterms:modified xsi:type="dcterms:W3CDTF">2026-08-11T03:31:00Z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