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5A1103CB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ГЛАВА 1</w:t>
      </w:r>
    </w:p>
    <w:p w14:paraId="01422AB9" w14:textId="4030994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8BB381C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0E6A7" w14:textId="5755B741" w:rsidR="005B7233" w:rsidRPr="00AC77B7" w:rsidRDefault="00AC77B7" w:rsidP="00AC77B7">
      <w:pPr>
        <w:spacing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7B7"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5B7233" w:rsidRPr="00AC77B7">
        <w:rPr>
          <w:rFonts w:ascii="Times New Roman" w:hAnsi="Times New Roman" w:cs="Times New Roman"/>
          <w:b/>
          <w:bCs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34667D8D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56BD" w14:textId="1EED24EE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2ACB">
        <w:rPr>
          <w:rFonts w:ascii="Times New Roman" w:hAnsi="Times New Roman" w:cs="Times New Roman"/>
          <w:sz w:val="28"/>
          <w:szCs w:val="28"/>
        </w:rPr>
        <w:t xml:space="preserve">Тяговая аккумуляторная батарея электротранспорта представляет собой функционально интегрированный элемент электротехнического комплекса, определяющий энергетические, динамические, тепловые свойства транспортной системы </w:t>
      </w:r>
      <w:r w:rsidR="00810421" w:rsidRPr="00810421">
        <w:rPr>
          <w:rFonts w:ascii="Times New Roman" w:hAnsi="Times New Roman" w:cs="Times New Roman"/>
          <w:sz w:val="28"/>
          <w:szCs w:val="28"/>
          <w:highlight w:val="green"/>
        </w:rPr>
        <w:t>и её надёжность</w:t>
      </w:r>
      <w:r w:rsidR="00810421">
        <w:rPr>
          <w:rFonts w:ascii="Times New Roman" w:hAnsi="Times New Roman" w:cs="Times New Roman"/>
          <w:sz w:val="28"/>
          <w:szCs w:val="28"/>
        </w:rPr>
        <w:t xml:space="preserve"> </w:t>
      </w:r>
      <w:r w:rsidRPr="00CC2ACB">
        <w:rPr>
          <w:rFonts w:ascii="Times New Roman" w:hAnsi="Times New Roman" w:cs="Times New Roman"/>
          <w:sz w:val="28"/>
          <w:szCs w:val="28"/>
        </w:rPr>
        <w:t xml:space="preserve">в целом. В рассматриваемой постановке батарея трактуется как многомасштабная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электрохими</w:t>
      </w:r>
      <w:r w:rsidR="00810421">
        <w:rPr>
          <w:rFonts w:ascii="Times New Roman" w:hAnsi="Times New Roman" w:cs="Times New Roman"/>
          <w:sz w:val="28"/>
          <w:szCs w:val="28"/>
          <w:highlight w:val="yellow"/>
        </w:rPr>
        <w:t xml:space="preserve">ческая и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электротехническая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система</w:t>
      </w:r>
      <w:r w:rsidR="00810421">
        <w:rPr>
          <w:rFonts w:ascii="Times New Roman" w:hAnsi="Times New Roman" w:cs="Times New Roman"/>
          <w:sz w:val="28"/>
          <w:szCs w:val="28"/>
        </w:rPr>
        <w:t xml:space="preserve">, </w:t>
      </w:r>
      <w:r w:rsidR="00810421" w:rsidRPr="00210611">
        <w:rPr>
          <w:rFonts w:ascii="Times New Roman" w:hAnsi="Times New Roman" w:cs="Times New Roman"/>
          <w:sz w:val="28"/>
          <w:szCs w:val="28"/>
          <w:highlight w:val="green"/>
        </w:rPr>
        <w:t xml:space="preserve">а </w:t>
      </w:r>
      <w:r w:rsidR="00810421" w:rsidRPr="00210611">
        <w:rPr>
          <w:rFonts w:ascii="Times New Roman" w:hAnsi="Times New Roman" w:cs="Times New Roman"/>
          <w:sz w:val="28"/>
          <w:szCs w:val="28"/>
          <w:highlight w:val="green"/>
        </w:rPr>
        <w:t xml:space="preserve">не сводится к </w:t>
      </w:r>
      <w:r w:rsidR="00810421" w:rsidRPr="00210611">
        <w:rPr>
          <w:rFonts w:ascii="Times New Roman" w:hAnsi="Times New Roman" w:cs="Times New Roman"/>
          <w:sz w:val="28"/>
          <w:szCs w:val="28"/>
          <w:highlight w:val="green"/>
        </w:rPr>
        <w:t xml:space="preserve">простому </w:t>
      </w:r>
      <w:r w:rsidR="00810421" w:rsidRPr="00210611">
        <w:rPr>
          <w:rFonts w:ascii="Times New Roman" w:hAnsi="Times New Roman" w:cs="Times New Roman"/>
          <w:sz w:val="28"/>
          <w:szCs w:val="28"/>
          <w:highlight w:val="green"/>
        </w:rPr>
        <w:t>эквивалентному источнику ЭДС с внутренним сопротивлением</w:t>
      </w:r>
      <w:r w:rsidR="00210611">
        <w:rPr>
          <w:rFonts w:ascii="Times New Roman" w:hAnsi="Times New Roman" w:cs="Times New Roman"/>
          <w:sz w:val="28"/>
          <w:szCs w:val="28"/>
        </w:rPr>
        <w:t>. Она</w:t>
      </w:r>
      <w:r w:rsidRPr="00CC2ACB">
        <w:rPr>
          <w:rFonts w:ascii="Times New Roman" w:hAnsi="Times New Roman" w:cs="Times New Roman"/>
          <w:sz w:val="28"/>
          <w:szCs w:val="28"/>
        </w:rPr>
        <w:t xml:space="preserve"> взаимодейству</w:t>
      </w:r>
      <w:r w:rsidR="00210611">
        <w:rPr>
          <w:rFonts w:ascii="Times New Roman" w:hAnsi="Times New Roman" w:cs="Times New Roman"/>
          <w:sz w:val="28"/>
          <w:szCs w:val="28"/>
        </w:rPr>
        <w:t>ет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 системой управления батареей, силовым преобразователем, тяговым электродвигателем, контуром рекуперации энергии и тепловым контуром. Именно такой подход является принципиальным для дальнейшего перехода от диагностики к прогнозированию остаточного ресурса на основе анализа комплексного импеданса в нестационарных режимах эксплуатации.</w:t>
      </w:r>
    </w:p>
    <w:p w14:paraId="01C36104" w14:textId="146E25DD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sz w:val="28"/>
          <w:szCs w:val="28"/>
        </w:rPr>
        <w:t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деградационное состояние. В общем виде напряжение батареи в динамическом режиме может быть представлено как</w:t>
      </w:r>
    </w:p>
    <w:p w14:paraId="36ABD8CD" w14:textId="77777777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CF9E50" w14:textId="18C6C893" w:rsidR="0072749C" w:rsidRP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6FD2">
        <w:rPr>
          <w:rFonts w:ascii="Times New Roman" w:hAnsi="Times New Roman" w:cs="Times New Roman"/>
          <w:position w:val="-14"/>
          <w:sz w:val="28"/>
          <w:szCs w:val="28"/>
        </w:rPr>
        <w:object w:dxaOrig="5300" w:dyaOrig="400" w14:anchorId="51D087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4.95pt;height:20.75pt" o:ole="">
            <v:imagedata r:id="rId6" o:title=""/>
          </v:shape>
          <o:OLEObject Type="Embed" ProgID="Equation.DSMT4" ShapeID="_x0000_i1025" DrawAspect="Content" ObjectID="_1841744450" r:id="rId7"/>
        </w:object>
      </w:r>
    </w:p>
    <w:p w14:paraId="2C2EE9BF" w14:textId="34984919" w:rsidR="0072749C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68E604C" w14:textId="0C7F575B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6FD2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E</w:t>
      </w:r>
      <w:r w:rsidRPr="00416FD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40774" w:rsidRPr="00D40774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D407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равновесное напряжение;</w:t>
      </w:r>
    </w:p>
    <w:p w14:paraId="1CF970B1" w14:textId="2AE453B2" w:rsidR="00416FD2" w:rsidRDefault="00D4077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9C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719C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A719C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токосъёмников</w:t>
      </w:r>
      <w:r w:rsidR="00A719C0">
        <w:rPr>
          <w:rFonts w:ascii="Times New Roman" w:hAnsi="Times New Roman" w:cs="Times New Roman"/>
          <w:sz w:val="28"/>
          <w:szCs w:val="28"/>
        </w:rPr>
        <w:t xml:space="preserve">, контактов и </w:t>
      </w:r>
      <w:r w:rsidR="00A719C0" w:rsidRPr="00A719C0">
        <w:rPr>
          <w:rFonts w:ascii="Times New Roman" w:hAnsi="Times New Roman" w:cs="Times New Roman"/>
          <w:sz w:val="28"/>
          <w:szCs w:val="28"/>
          <w:highlight w:val="yellow"/>
        </w:rPr>
        <w:t>электролита</w:t>
      </w:r>
      <w:r w:rsidR="00A719C0">
        <w:rPr>
          <w:rFonts w:ascii="Times New Roman" w:hAnsi="Times New Roman" w:cs="Times New Roman"/>
          <w:sz w:val="28"/>
          <w:szCs w:val="28"/>
        </w:rPr>
        <w:t>;</w:t>
      </w:r>
    </w:p>
    <w:p w14:paraId="7E068C68" w14:textId="6A508592" w:rsidR="00A719C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перенапряжение, связанное с процессом переноса заряда;</w:t>
      </w:r>
    </w:p>
    <w:p w14:paraId="4624B926" w14:textId="35A45667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диффузионная составляющая перенапряжения;</w:t>
      </w:r>
    </w:p>
    <w:p w14:paraId="3F23C9E7" w14:textId="4869D931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onc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 w:rsidRPr="00C75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концентрационная составляющая.</w:t>
      </w:r>
    </w:p>
    <w:p w14:paraId="5B02B15E" w14:textId="00EB75B1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Данное соотношение является прямым следствием обобщённого баланса потенциалов в электрохимической системе. Его применение обосновано тем, что при работе тяговой батареи суммарное напряжение на клеммах формируется не только термодинамически равновесной ЭДС, но и потерями различной физической природы. Для задач диссертации это принципиально важно, поскольку параметры деградации отражаются не в одном интегральном сопротивлении, а в изменении структуры указанных слагаемых.</w:t>
      </w:r>
    </w:p>
    <w:p w14:paraId="0CC6FC0B" w14:textId="15F46AFD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p w14:paraId="72F639AF" w14:textId="77777777" w:rsidR="00D56314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E40118" w14:textId="52A9B14D" w:rsidR="00D56314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37B2">
        <w:rPr>
          <w:rFonts w:ascii="Times New Roman" w:hAnsi="Times New Roman" w:cs="Times New Roman"/>
          <w:position w:val="-30"/>
          <w:sz w:val="28"/>
          <w:szCs w:val="28"/>
        </w:rPr>
        <w:object w:dxaOrig="3159" w:dyaOrig="680" w14:anchorId="4128C517">
          <v:shape id="_x0000_i1026" type="#_x0000_t75" style="width:157.8pt;height:34pt" o:ole="">
            <v:imagedata r:id="rId8" o:title=""/>
          </v:shape>
          <o:OLEObject Type="Embed" ProgID="Equation.DSMT4" ShapeID="_x0000_i1026" DrawAspect="Content" ObjectID="_1841744451" r:id="rId9"/>
        </w:object>
      </w:r>
    </w:p>
    <w:p w14:paraId="52AB0A51" w14:textId="7777777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4EC669" w14:textId="1AD6D4A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DA41FCE" w14:textId="512AB75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номинальная ёмкость батареи.</w:t>
      </w:r>
    </w:p>
    <w:p w14:paraId="162FC05C" w14:textId="2441CE6A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sz w:val="28"/>
          <w:szCs w:val="28"/>
        </w:rPr>
        <w:t>Эта формула выводится из интегральной формы уравнения непрерывности заряда и лежит в основе кулоновского счёта. Однако для тяговых батарей её практическая применимость ограничена тем, что величина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фактически становится функцией деградации, а следовательно, прямая интеграция тока без учёта старения накапливает систематическую ошибку.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По этой причине в современных задачах надёжности и ресурсного сопровождения батарей одной </w:t>
      </w:r>
      <w:r w:rsidR="008A0B55" w:rsidRPr="008A0B55">
        <w:rPr>
          <w:rFonts w:ascii="Times New Roman" w:hAnsi="Times New Roman" w:cs="Times New Roman"/>
          <w:sz w:val="28"/>
          <w:szCs w:val="28"/>
        </w:rPr>
        <w:lastRenderedPageBreak/>
        <w:t>оценки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недостаточно; необходимы также модели</w:t>
      </w:r>
      <w:r w:rsidR="00EE12F0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0"/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,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 и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commentRangeEnd w:id="0"/>
      <w:r w:rsidR="00DB5B26" w:rsidRPr="00EE12F0">
        <w:rPr>
          <w:rStyle w:val="ad"/>
          <w:rFonts w:ascii="Times New Roman" w:hAnsi="Times New Roman" w:cs="Times New Roman"/>
          <w:sz w:val="28"/>
          <w:szCs w:val="28"/>
        </w:rPr>
        <w:commentReference w:id="0"/>
      </w:r>
      <w:r w:rsidR="00EE12F0" w:rsidRPr="00EE12F0">
        <w:rPr>
          <w:rFonts w:ascii="Times New Roman" w:hAnsi="Times New Roman" w:cs="Times New Roman"/>
          <w:sz w:val="28"/>
          <w:szCs w:val="28"/>
        </w:rPr>
        <w:t>, чувствительные к внутренним электрохимическим изменениям.</w:t>
      </w:r>
    </w:p>
    <w:p w14:paraId="76169ECE" w14:textId="51DC8771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12F0">
        <w:rPr>
          <w:rFonts w:ascii="Times New Roman" w:hAnsi="Times New Roman" w:cs="Times New Roman"/>
          <w:sz w:val="28"/>
          <w:szCs w:val="28"/>
        </w:rPr>
        <w:t>Мощностной режим тяговой батареи определяется энергетическим балансом</w:t>
      </w:r>
    </w:p>
    <w:p w14:paraId="68374410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7989E" w14:textId="7B0126D9" w:rsidR="00EE12F0" w:rsidRPr="00DB5B26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359" w:dyaOrig="360" w14:anchorId="1157D90C">
          <v:shape id="_x0000_i1027" type="#_x0000_t75" style="width:67.4pt;height:17.3pt" o:ole="">
            <v:imagedata r:id="rId14" o:title=""/>
          </v:shape>
          <o:OLEObject Type="Embed" ProgID="Equation.DSMT4" ShapeID="_x0000_i1027" DrawAspect="Content" ObjectID="_1841744452" r:id="rId15"/>
        </w:object>
      </w:r>
      <w:r w:rsidR="00DB5B26">
        <w:rPr>
          <w:rFonts w:ascii="Times New Roman" w:hAnsi="Times New Roman" w:cs="Times New Roman"/>
          <w:sz w:val="28"/>
          <w:szCs w:val="28"/>
        </w:rPr>
        <w:t>,</w:t>
      </w:r>
    </w:p>
    <w:p w14:paraId="0ED3C069" w14:textId="02C8F7EA" w:rsidR="00EE12F0" w:rsidRPr="00C7589D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а потери мощности могут быть представлены в виде</w:t>
      </w:r>
    </w:p>
    <w:p w14:paraId="3BF40B19" w14:textId="3D2E5100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240" w:dyaOrig="400" w14:anchorId="3B9C0CF4">
          <v:shape id="_x0000_i1028" type="#_x0000_t75" style="width:162.45pt;height:20.75pt" o:ole="">
            <v:imagedata r:id="rId16" o:title=""/>
          </v:shape>
          <o:OLEObject Type="Embed" ProgID="Equation.DSMT4" ShapeID="_x0000_i1028" DrawAspect="Content" ObjectID="_1841744453" r:id="rId17"/>
        </w:object>
      </w:r>
    </w:p>
    <w:p w14:paraId="5C2F5723" w14:textId="77777777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866B4D" w14:textId="6B504CCA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DB5B26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DB5B2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эквивалентное внутреннее сопротивление, </w:t>
      </w:r>
      <w:r w:rsidRPr="00090672">
        <w:rPr>
          <w:rFonts w:ascii="Times New Roman" w:hAnsi="Times New Roman" w:cs="Times New Roman"/>
          <w:sz w:val="28"/>
          <w:szCs w:val="28"/>
        </w:rPr>
        <w:t>включающее омическую, зарядопереносную и диффузионную составляющие.</w:t>
      </w:r>
    </w:p>
    <w:p w14:paraId="0859D0BA" w14:textId="0573A4BC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Первое слагаемое следует из закона Джоуля–Ленца, второе и третье отражают необратимые потери, связанные соответственно с кинетикой межфазной реакции и ограничениями массопереноса. Именно поэтому рост сопротивления переноса заряда и рост диффузионного импеданса ведут не только к ухудшению диагностических показателей, но и к непосредственному снижению доступной тяговой мощности транспортного средства.</w:t>
      </w:r>
    </w:p>
    <w:p w14:paraId="77AB5C95" w14:textId="5839FD94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4F1">
        <w:rPr>
          <w:rFonts w:ascii="Times New Roman" w:hAnsi="Times New Roman" w:cs="Times New Roman"/>
          <w:sz w:val="28"/>
          <w:szCs w:val="28"/>
        </w:rPr>
        <w:t>Тепловое состояние батареи описывается уравнением баланса тепла</w:t>
      </w:r>
    </w:p>
    <w:p w14:paraId="5FA7EC5C" w14:textId="77777777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B702C4" w14:textId="0DBE90FF" w:rsidR="00B324F1" w:rsidRP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F1B">
        <w:rPr>
          <w:rFonts w:ascii="Times New Roman" w:hAnsi="Times New Roman" w:cs="Times New Roman"/>
          <w:position w:val="-24"/>
          <w:sz w:val="28"/>
          <w:szCs w:val="28"/>
        </w:rPr>
        <w:object w:dxaOrig="3440" w:dyaOrig="620" w14:anchorId="3CFCB99D">
          <v:shape id="_x0000_i1029" type="#_x0000_t75" style="width:171.65pt;height:31.1pt" o:ole="">
            <v:imagedata r:id="rId18" o:title=""/>
          </v:shape>
          <o:OLEObject Type="Embed" ProgID="Equation.DSMT4" ShapeID="_x0000_i1029" DrawAspect="Content" ObjectID="_1841744454" r:id="rId19"/>
        </w:object>
      </w:r>
    </w:p>
    <w:p w14:paraId="29DE5A08" w14:textId="461FCD55" w:rsidR="00B324F1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259639" w14:textId="4A7F3EF6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тепловая ёмкость батарейного модуля;</w:t>
      </w:r>
    </w:p>
    <w:p w14:paraId="0D8BD0F9" w14:textId="3696ED4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rev</w:t>
      </w:r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обратимая тепловая составляющая;</w:t>
      </w:r>
    </w:p>
    <w:p w14:paraId="651A1325" w14:textId="6E9E3125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теплопередачи;</w:t>
      </w:r>
    </w:p>
    <w:p w14:paraId="3E78362D" w14:textId="42F54C69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A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эффективная поверхность теплообмена;</w:t>
      </w:r>
    </w:p>
    <w:p w14:paraId="10C974D8" w14:textId="0FA0C2E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amb</w:t>
      </w:r>
      <w:r w:rsidRPr="0078052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 окружающей среды.</w:t>
      </w:r>
    </w:p>
    <w:p w14:paraId="288618F5" w14:textId="4541C39F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52A">
        <w:rPr>
          <w:rFonts w:ascii="Times New Roman" w:hAnsi="Times New Roman" w:cs="Times New Roman"/>
          <w:sz w:val="28"/>
          <w:szCs w:val="28"/>
        </w:rPr>
        <w:t>Это уравнение представляет собой первый закон термодинамики для сосредоточенной тепловой системы. Оно используется в диссертации потому, что температура не является внешним фоном, а входит в деградационную динамику напрямую: через изменение электропроводности, скорости межфазной реакции, коэффициента диффузии и толщины пассивирующего слоя.</w:t>
      </w:r>
    </w:p>
    <w:p w14:paraId="11438C5B" w14:textId="7D1069B7" w:rsidR="00AF1D4F" w:rsidRDefault="00AF1D4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D4F">
        <w:rPr>
          <w:rFonts w:ascii="Times New Roman" w:hAnsi="Times New Roman" w:cs="Times New Roman"/>
          <w:sz w:val="28"/>
          <w:szCs w:val="28"/>
        </w:rPr>
        <w:t xml:space="preserve">Для последующего анализа в работе рассматриваются четыре группы аккумуляторных систем: NMC, LFP, LTO и Na-ion. Такой выбор обусловлен необходимостью охватить не только наиболее распространённые литий-ионные тяговые химии, но и системы с существенно различающимися эксплуатационными свойствами: высокой энергоёмкостью, высокой циклической стабильностью, повышенной мощностью и низкотемпературной работоспособностью, а также альтернативные </w:t>
      </w:r>
      <w:r w:rsidRPr="003D52DF">
        <w:rPr>
          <w:rFonts w:ascii="Times New Roman" w:hAnsi="Times New Roman" w:cs="Times New Roman"/>
          <w:sz w:val="28"/>
          <w:szCs w:val="28"/>
          <w:highlight w:val="yellow"/>
        </w:rPr>
        <w:t>натрий-ионные решения</w:t>
      </w:r>
      <w:r w:rsidRPr="00AF1D4F">
        <w:rPr>
          <w:rFonts w:ascii="Times New Roman" w:hAnsi="Times New Roman" w:cs="Times New Roman"/>
          <w:sz w:val="28"/>
          <w:szCs w:val="28"/>
        </w:rPr>
        <w:t>. Введение LTO и Na-ion в</w:t>
      </w:r>
      <w:r w:rsidR="008A210B">
        <w:rPr>
          <w:rFonts w:ascii="Times New Roman" w:hAnsi="Times New Roman" w:cs="Times New Roman"/>
          <w:sz w:val="28"/>
          <w:szCs w:val="28"/>
        </w:rPr>
        <w:t xml:space="preserve"> </w:t>
      </w:r>
      <w:r w:rsidR="008A210B" w:rsidRPr="008A210B">
        <w:rPr>
          <w:rFonts w:ascii="Times New Roman" w:hAnsi="Times New Roman" w:cs="Times New Roman"/>
          <w:sz w:val="28"/>
          <w:szCs w:val="28"/>
        </w:rPr>
        <w:t>общую структуру исследования позволяет перейти от частной модели одной химической системы к более общей унифицированной постановке, что является одним из ключевых направлений развития диссертации.</w:t>
      </w:r>
    </w:p>
    <w:p w14:paraId="2E63A900" w14:textId="6718D1E2" w:rsidR="00980327" w:rsidRDefault="00980327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327">
        <w:rPr>
          <w:rFonts w:ascii="Times New Roman" w:hAnsi="Times New Roman" w:cs="Times New Roman"/>
          <w:sz w:val="28"/>
          <w:szCs w:val="28"/>
        </w:rPr>
        <w:t>Таблица 1.1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80327">
        <w:rPr>
          <w:rFonts w:ascii="Times New Roman" w:hAnsi="Times New Roman" w:cs="Times New Roman"/>
          <w:sz w:val="28"/>
          <w:szCs w:val="28"/>
        </w:rPr>
        <w:t>Сравнительные характеристики опытной серии тяговых аккумуляторных систем</w:t>
      </w:r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876"/>
        <w:gridCol w:w="1378"/>
        <w:gridCol w:w="1367"/>
        <w:gridCol w:w="999"/>
        <w:gridCol w:w="1126"/>
        <w:gridCol w:w="1487"/>
        <w:gridCol w:w="1487"/>
        <w:gridCol w:w="957"/>
      </w:tblGrid>
      <w:tr w:rsidR="004B2EDB" w:rsidRPr="004B2EDB" w14:paraId="46F5BAAD" w14:textId="40D084E9" w:rsidTr="004B2EDB">
        <w:tc>
          <w:tcPr>
            <w:tcW w:w="846" w:type="dxa"/>
          </w:tcPr>
          <w:p w14:paraId="7AEFBBCC" w14:textId="35CAAC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A0471BA" w14:textId="7B419AC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78BC6B5" w14:textId="45B078D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Номинальная ёмкость, А·ч</w:t>
            </w:r>
          </w:p>
        </w:tc>
        <w:tc>
          <w:tcPr>
            <w:tcW w:w="999" w:type="dxa"/>
          </w:tcPr>
          <w:p w14:paraId="4852FB4D" w14:textId="4A0FC0A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энергия, Вт·ч/кг</w:t>
            </w:r>
          </w:p>
        </w:tc>
        <w:tc>
          <w:tcPr>
            <w:tcW w:w="1126" w:type="dxa"/>
          </w:tcPr>
          <w:p w14:paraId="327F8207" w14:textId="46B60F47" w:rsidR="009D7C13" w:rsidRPr="004B2ED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60AC2434" w14:textId="7FDBC88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омическое сопротивление 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Ω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1487" w:type="dxa"/>
          </w:tcPr>
          <w:p w14:paraId="0B8B6A6E" w14:textId="77777777" w:rsid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сопротивление переноса заряда </w:t>
            </w:r>
          </w:p>
          <w:p w14:paraId="283C2D2F" w14:textId="1BCFBCD1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vertAlign w:val="subscript"/>
                <w:lang w:val="en-US"/>
              </w:rPr>
              <w:t>ct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1A87BE7B" w14:textId="0DFDC48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703199BE" w14:textId="64A3345F" w:rsidTr="004B2EDB">
        <w:tc>
          <w:tcPr>
            <w:tcW w:w="846" w:type="dxa"/>
          </w:tcPr>
          <w:p w14:paraId="5C076C3E" w14:textId="3440B7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23D067DB" w14:textId="3FEC78A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3,65</w:t>
            </w:r>
          </w:p>
        </w:tc>
        <w:tc>
          <w:tcPr>
            <w:tcW w:w="1367" w:type="dxa"/>
          </w:tcPr>
          <w:p w14:paraId="0D2D1487" w14:textId="42A7D6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15793BF6" w14:textId="555BE4BA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66FE19B1" w14:textId="4F1B852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3D2C8686" w14:textId="5BAF149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1,9</w:t>
            </w:r>
          </w:p>
        </w:tc>
        <w:tc>
          <w:tcPr>
            <w:tcW w:w="1487" w:type="dxa"/>
          </w:tcPr>
          <w:p w14:paraId="7941D3A3" w14:textId="40703F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41D097C" w14:textId="43092F6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1800</w:t>
            </w:r>
          </w:p>
        </w:tc>
      </w:tr>
      <w:tr w:rsidR="004B2EDB" w:rsidRPr="004B2EDB" w14:paraId="5BF713CF" w14:textId="4901C63E" w:rsidTr="004B2EDB">
        <w:tc>
          <w:tcPr>
            <w:tcW w:w="846" w:type="dxa"/>
          </w:tcPr>
          <w:p w14:paraId="39E410C6" w14:textId="085DD56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7D64546B" w14:textId="1160F40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3,20</w:t>
            </w:r>
          </w:p>
        </w:tc>
        <w:tc>
          <w:tcPr>
            <w:tcW w:w="1367" w:type="dxa"/>
          </w:tcPr>
          <w:p w14:paraId="0D077A92" w14:textId="746853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72F5E384" w14:textId="1E6517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5E262CCC" w14:textId="64B7B21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79917309" w14:textId="1029579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2,6</w:t>
            </w:r>
          </w:p>
        </w:tc>
        <w:tc>
          <w:tcPr>
            <w:tcW w:w="1487" w:type="dxa"/>
          </w:tcPr>
          <w:p w14:paraId="41647284" w14:textId="286BD21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41F1D73" w14:textId="469FDA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4200</w:t>
            </w:r>
          </w:p>
        </w:tc>
      </w:tr>
      <w:tr w:rsidR="004B2EDB" w:rsidRPr="004B2EDB" w14:paraId="2E8E6682" w14:textId="18B9B852" w:rsidTr="004B2EDB">
        <w:tc>
          <w:tcPr>
            <w:tcW w:w="846" w:type="dxa"/>
          </w:tcPr>
          <w:p w14:paraId="30BFC9A3" w14:textId="515FFC9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48A73919" w14:textId="4B16244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2,30</w:t>
            </w:r>
          </w:p>
        </w:tc>
        <w:tc>
          <w:tcPr>
            <w:tcW w:w="1367" w:type="dxa"/>
          </w:tcPr>
          <w:p w14:paraId="5246477A" w14:textId="1BD6008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D30F387" w14:textId="75D1A18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09FB6494" w14:textId="1EC9DC0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0C4E2FDA" w14:textId="6F2CA99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0,9</w:t>
            </w:r>
          </w:p>
        </w:tc>
        <w:tc>
          <w:tcPr>
            <w:tcW w:w="1487" w:type="dxa"/>
          </w:tcPr>
          <w:p w14:paraId="5BF33C6B" w14:textId="288E2D98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27E0D8B7" w14:textId="2A6A7C5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12000</w:t>
            </w:r>
          </w:p>
        </w:tc>
      </w:tr>
      <w:tr w:rsidR="004B2EDB" w:rsidRPr="004B2EDB" w14:paraId="5293EEF9" w14:textId="77E69D6C" w:rsidTr="004B2EDB">
        <w:tc>
          <w:tcPr>
            <w:tcW w:w="846" w:type="dxa"/>
          </w:tcPr>
          <w:p w14:paraId="27FF586D" w14:textId="725D42C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Na-ion</w:t>
            </w:r>
          </w:p>
        </w:tc>
        <w:tc>
          <w:tcPr>
            <w:tcW w:w="1378" w:type="dxa"/>
          </w:tcPr>
          <w:p w14:paraId="09F02737" w14:textId="4543BEE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3,00</w:t>
            </w:r>
          </w:p>
        </w:tc>
        <w:tc>
          <w:tcPr>
            <w:tcW w:w="1367" w:type="dxa"/>
          </w:tcPr>
          <w:p w14:paraId="5D1D25BF" w14:textId="1EBA44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423DF624" w14:textId="5174A365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5E18902E" w14:textId="7A90D71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F600B07" w14:textId="3C93F96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3,4</w:t>
            </w:r>
          </w:p>
        </w:tc>
        <w:tc>
          <w:tcPr>
            <w:tcW w:w="1487" w:type="dxa"/>
          </w:tcPr>
          <w:p w14:paraId="47670E91" w14:textId="7E396BD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65323A3C" w14:textId="6035046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2000</w:t>
            </w:r>
          </w:p>
        </w:tc>
      </w:tr>
    </w:tbl>
    <w:p w14:paraId="4A4BE87D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AF40E" w14:textId="6F0902B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449">
        <w:rPr>
          <w:rFonts w:ascii="Times New Roman" w:hAnsi="Times New Roman" w:cs="Times New Roman"/>
          <w:sz w:val="28"/>
          <w:szCs w:val="28"/>
        </w:rPr>
        <w:lastRenderedPageBreak/>
        <w:t>Представленные данные отражают исходную параметризацию опытной серии, принятой в работе для последующих нагрузочных, импедансных и деградационных экспериментов. Уже на этом уровне видно, что различные химические системы задают принципиально разные компромиссы между энергоёмкостью, мощностью, внутренним сопротивлением и циклическим ресурсом. NMC характеризуется максимальной удельной энергией, LFP — сбалансированным сочетанием ресурса и мощностных характеристик, LTO — минимальным внутренним сопротивлением и наивысшей циклической стойкостью, а Na-ion — перспективностью с точки зрения ресурсной и сырьевой независимости при более высоком начальном импедансе.</w:t>
      </w:r>
    </w:p>
    <w:p w14:paraId="7C4FFA3B" w14:textId="2030C480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0F828233" w14:textId="67B99E7C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99">
        <w:rPr>
          <w:rFonts w:ascii="Times New Roman" w:hAnsi="Times New Roman" w:cs="Times New Roman"/>
          <w:sz w:val="28"/>
          <w:szCs w:val="28"/>
        </w:rPr>
        <w:t xml:space="preserve">Структурная схема электротранспортного комплекса показывает, что аккумуляторная батарея одновременно выполняет функции источника энергии, объекта мониторинга, </w:t>
      </w:r>
      <w:r w:rsidRPr="005C3755">
        <w:rPr>
          <w:rFonts w:ascii="Times New Roman" w:hAnsi="Times New Roman" w:cs="Times New Roman"/>
          <w:sz w:val="28"/>
          <w:szCs w:val="28"/>
          <w:highlight w:val="yellow"/>
        </w:rPr>
        <w:t>термонапряжённого</w:t>
      </w:r>
      <w:r w:rsidRPr="00623599">
        <w:rPr>
          <w:rFonts w:ascii="Times New Roman" w:hAnsi="Times New Roman" w:cs="Times New Roman"/>
          <w:sz w:val="28"/>
          <w:szCs w:val="28"/>
        </w:rPr>
        <w:t xml:space="preserve"> узла и элемента динамического силового контура. Поэтому любые диагностические модели, не учитывающие её системные связи с BMS, силовой электроникой, рекуперацией и тепловым контуром, неизбежно оказываются неполными.</w:t>
      </w:r>
    </w:p>
    <w:p w14:paraId="38CA198E" w14:textId="77777777" w:rsidR="001A0B8F" w:rsidRDefault="001A0B8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F373C" w14:textId="6EA62700" w:rsidR="001A0B8F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C445B0" wp14:editId="01AC8C84">
            <wp:extent cx="6119495" cy="3032760"/>
            <wp:effectExtent l="0" t="0" r="0" b="0"/>
            <wp:docPr id="139680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24DE" w14:textId="14174A8B" w:rsidR="00EA7000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"/>
      <w:r w:rsidRPr="00EA7000">
        <w:rPr>
          <w:rFonts w:ascii="Times New Roman" w:hAnsi="Times New Roman" w:cs="Times New Roman"/>
          <w:sz w:val="28"/>
          <w:szCs w:val="28"/>
        </w:rPr>
        <w:t>Рисунок 1.1 — Структура тяговой аккумуляторной батареи в составе электротехнического комплекса</w:t>
      </w:r>
      <w:commentRangeEnd w:id="1"/>
      <w:r w:rsidR="005C3755">
        <w:rPr>
          <w:rStyle w:val="ad"/>
          <w:rFonts w:ascii="Times New Roman" w:hAnsi="Times New Roman" w:cs="Times New Roman"/>
          <w:sz w:val="28"/>
          <w:szCs w:val="28"/>
        </w:rPr>
        <w:commentReference w:id="1"/>
      </w:r>
    </w:p>
    <w:p w14:paraId="1101A498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C42883" w14:textId="47D35204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B5F">
        <w:rPr>
          <w:rFonts w:ascii="Times New Roman" w:hAnsi="Times New Roman" w:cs="Times New Roman"/>
          <w:sz w:val="28"/>
          <w:szCs w:val="28"/>
        </w:rPr>
        <w:t>На рисунке показано место батареи в общем энергетическом контуре электротранспортной системы. Батарея связана с системой управления батареей, силовым преобразователем, тяговым электродвигателем, рекуперационным контуром, тепловым контуром и бортовой сетью. Такая структура демонстрирует, что состояние батареи определяет не только запас энергии, но и допустимые уровни тока, устойчивость теплового режима, интенсивность рекуперации и фактическую доступную мощность тягового привода.</w:t>
      </w:r>
    </w:p>
    <w:p w14:paraId="4968E4D8" w14:textId="75BAF733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DD6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системной постановке объекта исследования. Батарея вводится не как отдельная электрохимическая ячейка, а как параметрически изменяющийся элемент электротехнического комплекса. Это обеспечивает корректную связь диссертации с проблематикой специальности 2.4.2, поскольку дальнейшие модели будут относиться не только к электрохимии, но и к режимам, управлению и надёжности комплекса в целом.</w:t>
      </w:r>
    </w:p>
    <w:p w14:paraId="1F336A69" w14:textId="7749CDA3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Практическая ценность рисунка состоит в том, что он задаёт архитектуру будущей инженерной реализации. Из него непосредственно следует, где могут </w:t>
      </w:r>
      <w:r w:rsidRPr="00BA7334">
        <w:rPr>
          <w:rFonts w:ascii="Times New Roman" w:hAnsi="Times New Roman" w:cs="Times New Roman"/>
          <w:sz w:val="28"/>
          <w:szCs w:val="28"/>
        </w:rPr>
        <w:lastRenderedPageBreak/>
        <w:t>использоваться разработанные далее диагностические и прогностические алгоритмы: в BMS, в контуре ограничения мощности, в логике теплового управления и в системах эксплуатационного мониторинга электротранспорта.</w:t>
      </w:r>
    </w:p>
    <w:p w14:paraId="788E5FDC" w14:textId="5E3C5F30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Ключевой особенностью тяговых батарей является работа в резко нестационарных нагрузочных режимах. Для стационарного накопителя энергии токовая нагрузка обычно изменяется сравнительно медленно, тогда как тяговая батарея непрерывно проходит через чередование разгона, выбега, торможения с рекуперацией, повторных ускорений, а </w:t>
      </w:r>
      <w:r w:rsidRPr="005C3755">
        <w:rPr>
          <w:rFonts w:ascii="Times New Roman" w:hAnsi="Times New Roman" w:cs="Times New Roman"/>
          <w:sz w:val="28"/>
          <w:szCs w:val="28"/>
          <w:highlight w:val="green"/>
        </w:rPr>
        <w:t xml:space="preserve">также </w:t>
      </w:r>
      <w:r w:rsidR="005C3755" w:rsidRPr="005C3755">
        <w:rPr>
          <w:rFonts w:ascii="Times New Roman" w:hAnsi="Times New Roman" w:cs="Times New Roman"/>
          <w:sz w:val="28"/>
          <w:szCs w:val="28"/>
          <w:highlight w:val="green"/>
        </w:rPr>
        <w:t>мощных импульсов тока</w:t>
      </w:r>
      <w:r w:rsidR="005C3755">
        <w:rPr>
          <w:rFonts w:ascii="Times New Roman" w:hAnsi="Times New Roman" w:cs="Times New Roman"/>
          <w:sz w:val="28"/>
          <w:szCs w:val="28"/>
        </w:rPr>
        <w:t xml:space="preserve"> </w:t>
      </w:r>
      <w:r w:rsidRPr="005C3755">
        <w:rPr>
          <w:rFonts w:ascii="Times New Roman" w:hAnsi="Times New Roman" w:cs="Times New Roman"/>
          <w:sz w:val="28"/>
          <w:szCs w:val="28"/>
          <w:highlight w:val="red"/>
        </w:rPr>
        <w:t>пульсирующим токопотреблением</w:t>
      </w:r>
      <w:r w:rsidRPr="00BA7334">
        <w:rPr>
          <w:rFonts w:ascii="Times New Roman" w:hAnsi="Times New Roman" w:cs="Times New Roman"/>
          <w:sz w:val="28"/>
          <w:szCs w:val="28"/>
        </w:rPr>
        <w:t>. Именно это обстоятельство делает недостаточным использование только стационарных моделей внутреннего сопротивления и требует анализа динамики спектральных характеристик.</w:t>
      </w:r>
    </w:p>
    <w:p w14:paraId="56E38526" w14:textId="0044C609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171">
        <w:rPr>
          <w:rFonts w:ascii="Times New Roman" w:hAnsi="Times New Roman" w:cs="Times New Roman"/>
          <w:sz w:val="28"/>
          <w:szCs w:val="28"/>
        </w:rPr>
        <w:t>Для описания режима тяговой эксплуатации удобно представить ток как суперпозицию базовой и динамической составляющих:</w:t>
      </w:r>
    </w:p>
    <w:p w14:paraId="1CA3F54B" w14:textId="77777777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33288B" w14:textId="12E4B02C" w:rsidR="00034171" w:rsidRPr="00F00EB5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0EB5">
        <w:rPr>
          <w:rFonts w:ascii="Times New Roman" w:hAnsi="Times New Roman" w:cs="Times New Roman"/>
          <w:position w:val="-14"/>
          <w:sz w:val="28"/>
          <w:szCs w:val="28"/>
        </w:rPr>
        <w:object w:dxaOrig="2079" w:dyaOrig="380" w14:anchorId="073C43AA">
          <v:shape id="_x0000_i1030" type="#_x0000_t75" style="width:103.7pt;height:19pt" o:ole="">
            <v:imagedata r:id="rId21" o:title=""/>
          </v:shape>
          <o:OLEObject Type="Embed" ProgID="Equation.DSMT4" ShapeID="_x0000_i1030" DrawAspect="Content" ObjectID="_1841744455" r:id="rId22"/>
        </w:object>
      </w:r>
    </w:p>
    <w:p w14:paraId="56B9266D" w14:textId="55BC64FA" w:rsidR="00034171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77A9D1F3" w14:textId="1B6AFB59" w:rsidR="00F00EB5" w:rsidRDefault="00384BE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base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квазистационарную тяговую нагрузку;</w:t>
      </w:r>
    </w:p>
    <w:p w14:paraId="3C1C83AC" w14:textId="479B9219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B199D">
        <w:rPr>
          <w:rFonts w:ascii="Times New Roman" w:hAnsi="Times New Roman" w:cs="Times New Roman"/>
          <w:sz w:val="28"/>
          <w:szCs w:val="28"/>
        </w:rPr>
        <w:t xml:space="preserve"> 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быстрые импульсные изменения, связанные с разгонами, переключениями и рекуперацией.</w:t>
      </w:r>
    </w:p>
    <w:p w14:paraId="2BFD3EAF" w14:textId="773587EB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BE1">
        <w:rPr>
          <w:rFonts w:ascii="Times New Roman" w:hAnsi="Times New Roman" w:cs="Times New Roman"/>
          <w:sz w:val="28"/>
          <w:szCs w:val="28"/>
        </w:rPr>
        <w:t>Такая запись следует из принципа декомпозиции нестационарного процесса на медленную и быструю компоненты и будет далее использована в главе 2 при переходе к модели динамического импеданса.</w:t>
      </w:r>
    </w:p>
    <w:p w14:paraId="1A30B8C2" w14:textId="7E8D27E6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7CF">
        <w:rPr>
          <w:rFonts w:ascii="Times New Roman" w:hAnsi="Times New Roman" w:cs="Times New Roman"/>
          <w:sz w:val="28"/>
          <w:szCs w:val="28"/>
        </w:rPr>
        <w:t>Результаты нагрузочного теста, выполненного на городской циклограмме движения, показывают, что даже в пределах одного типового ездового цикла ток батареи многократно меняет знак и амплитуду, а температура модуля непрерывно эволюционирует. Следовательно, электрическое состояние и тепловое состояние тяговой батареи принципиально связаны.</w:t>
      </w:r>
    </w:p>
    <w:p w14:paraId="5C703EBD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03D5E" w14:textId="7905BB45" w:rsidR="00E935C6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06D9475C">
            <wp:extent cx="6119495" cy="3304540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7EE" w14:textId="68BFA761" w:rsidR="00930775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"/>
      <w:r w:rsidRPr="00930775">
        <w:rPr>
          <w:rFonts w:ascii="Times New Roman" w:hAnsi="Times New Roman" w:cs="Times New Roman"/>
          <w:sz w:val="28"/>
          <w:szCs w:val="28"/>
        </w:rPr>
        <w:t>Рисунок 1.2 — Нагрузочный профиль тяговой аккумуляторной батареи в городском цикле движения</w:t>
      </w:r>
      <w:commentRangeEnd w:id="2"/>
      <w:r w:rsidR="0060746B">
        <w:rPr>
          <w:rStyle w:val="ad"/>
          <w:rFonts w:ascii="Times New Roman" w:hAnsi="Times New Roman" w:cs="Times New Roman"/>
          <w:sz w:val="28"/>
          <w:szCs w:val="28"/>
        </w:rPr>
        <w:commentReference w:id="2"/>
      </w:r>
    </w:p>
    <w:p w14:paraId="7999FF30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ECD0" w14:textId="32FB3686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245">
        <w:rPr>
          <w:rFonts w:ascii="Times New Roman" w:hAnsi="Times New Roman" w:cs="Times New Roman"/>
          <w:sz w:val="28"/>
          <w:szCs w:val="28"/>
        </w:rPr>
        <w:t>На рисунке приведены результаты нагрузочного испытания опытного тягового модуля в режиме городского цикла. Положительные значения тока соответствуют тяговому режиму, отрицательные — режиму рекуперативного торможения. Пунктирной линией показана температура батарейного модуля. Видно, что в течение одного цикла наблюдаются повторяющиеся участки разгона, рекуперации и установившегося движения, а температурная кривая не успевает вернуться к исходному уровню между отдельными нагрузочными пиками.</w:t>
      </w:r>
    </w:p>
    <w:p w14:paraId="2E481AD5" w14:textId="1AF3CDC7" w:rsidR="00516B33" w:rsidRPr="00C7589D" w:rsidRDefault="00516B3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6B3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подтверждении того, что исследуемый объект работает в режиме параметрической нестационарности. Это служит прямым обоснованием дальнейшего отказа от чисто стационарной трактовки импеданса и необходимости введения динамических 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«</w:t>
      </w:r>
      <w:r w:rsidRPr="00516B33">
        <w:rPr>
          <w:rFonts w:ascii="Times New Roman" w:hAnsi="Times New Roman" w:cs="Times New Roman"/>
          <w:sz w:val="28"/>
          <w:szCs w:val="28"/>
        </w:rPr>
        <w:t>деградационных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»</w:t>
      </w:r>
      <w:r w:rsidRPr="00516B33">
        <w:rPr>
          <w:rFonts w:ascii="Times New Roman" w:hAnsi="Times New Roman" w:cs="Times New Roman"/>
          <w:sz w:val="28"/>
          <w:szCs w:val="28"/>
        </w:rPr>
        <w:t xml:space="preserve"> коэффициентов и моделей 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16B3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516B33">
        <w:rPr>
          <w:rFonts w:ascii="Times New Roman" w:hAnsi="Times New Roman" w:cs="Times New Roman"/>
          <w:sz w:val="28"/>
          <w:szCs w:val="28"/>
        </w:rPr>
        <w:t>.</w:t>
      </w:r>
    </w:p>
    <w:p w14:paraId="3B41FACF" w14:textId="359DB3DE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898">
        <w:rPr>
          <w:rFonts w:ascii="Times New Roman" w:hAnsi="Times New Roman" w:cs="Times New Roman"/>
          <w:sz w:val="28"/>
          <w:szCs w:val="28"/>
        </w:rPr>
        <w:lastRenderedPageBreak/>
        <w:t xml:space="preserve">Практическая польза рисунка состоит в том, что он задаёт реалистичную основу для построения программ стендовых испытаний, выбора спектров диагностических частот и расчёта тепловой нагрузки. Именно такой тип профиля должен использоваться для проверки пригодности будущих моделей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 xml:space="preserve">SOH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01898">
        <w:rPr>
          <w:rFonts w:ascii="Times New Roman" w:hAnsi="Times New Roman" w:cs="Times New Roman"/>
          <w:sz w:val="28"/>
          <w:szCs w:val="28"/>
        </w:rPr>
        <w:t xml:space="preserve">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801898">
        <w:rPr>
          <w:rFonts w:ascii="Times New Roman" w:hAnsi="Times New Roman" w:cs="Times New Roman"/>
          <w:sz w:val="28"/>
          <w:szCs w:val="28"/>
        </w:rPr>
        <w:t xml:space="preserve"> в реальных транспортных условиях.</w:t>
      </w:r>
    </w:p>
    <w:p w14:paraId="64BA9030" w14:textId="1A21D945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sz w:val="28"/>
          <w:szCs w:val="28"/>
        </w:rPr>
        <w:t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массогабаритным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Na-ion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2EC58A5C" w14:textId="36602BF8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A91">
        <w:rPr>
          <w:rFonts w:ascii="Times New Roman" w:hAnsi="Times New Roman" w:cs="Times New Roman"/>
          <w:sz w:val="28"/>
          <w:szCs w:val="28"/>
        </w:rPr>
        <w:t>Эти различия имеют прямое математическое следствие. Если сопротивление переноса заряда определяется выражением</w:t>
      </w:r>
    </w:p>
    <w:p w14:paraId="368EE463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3DD893" w14:textId="254BF959" w:rsidR="00395A91" w:rsidRPr="00AC04C1" w:rsidRDefault="00415E9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474779D0">
          <v:shape id="_x0000_i1031" type="#_x0000_t75" style="width:48.4pt;height:34pt" o:ole="">
            <v:imagedata r:id="rId24" o:title=""/>
          </v:shape>
          <o:OLEObject Type="Embed" ProgID="Equation.DSMT4" ShapeID="_x0000_i1031" DrawAspect="Content" ObjectID="_1841744456" r:id="rId25"/>
        </w:object>
      </w:r>
      <w:r w:rsidR="00F468BF">
        <w:rPr>
          <w:rFonts w:ascii="Times New Roman" w:hAnsi="Times New Roman" w:cs="Times New Roman"/>
          <w:sz w:val="28"/>
          <w:szCs w:val="28"/>
        </w:rPr>
        <w:t>,</w:t>
      </w:r>
    </w:p>
    <w:p w14:paraId="62E563EE" w14:textId="77777777" w:rsidR="00395A91" w:rsidRPr="00AC04C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19755D" w14:textId="781089C6" w:rsidR="00415E90" w:rsidRPr="00C7589D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AC04C1">
        <w:rPr>
          <w:rFonts w:ascii="Times New Roman" w:hAnsi="Times New Roman" w:cs="Times New Roman"/>
          <w:sz w:val="28"/>
          <w:szCs w:val="28"/>
          <w:highlight w:val="yellow"/>
        </w:rPr>
        <w:t>обменного</w:t>
      </w:r>
      <w:r w:rsidRPr="00415E90">
        <w:rPr>
          <w:rFonts w:ascii="Times New Roman" w:hAnsi="Times New Roman" w:cs="Times New Roman"/>
          <w:sz w:val="28"/>
          <w:szCs w:val="28"/>
        </w:rPr>
        <w:t xml:space="preserve"> тока </w:t>
      </w:r>
      <w:r w:rsidRPr="00415E9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415E9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415E90">
        <w:rPr>
          <w:rFonts w:ascii="Times New Roman" w:hAnsi="Times New Roman" w:cs="Times New Roman"/>
          <w:sz w:val="28"/>
          <w:szCs w:val="28"/>
        </w:rPr>
        <w:t xml:space="preserve">, зависящего от материала электрода, площади </w:t>
      </w:r>
      <w:r w:rsidRPr="00AC04C1">
        <w:rPr>
          <w:rFonts w:ascii="Times New Roman" w:hAnsi="Times New Roman" w:cs="Times New Roman"/>
          <w:sz w:val="28"/>
          <w:szCs w:val="28"/>
          <w:highlight w:val="red"/>
        </w:rPr>
        <w:t>реакционной</w:t>
      </w:r>
      <w:r w:rsidRPr="00415E90">
        <w:rPr>
          <w:rFonts w:ascii="Times New Roman" w:hAnsi="Times New Roman" w:cs="Times New Roman"/>
          <w:sz w:val="28"/>
          <w:szCs w:val="28"/>
        </w:rPr>
        <w:t xml:space="preserve"> поверхности </w:t>
      </w:r>
      <w:r w:rsidR="00AC04C1" w:rsidRPr="00AC04C1">
        <w:rPr>
          <w:rFonts w:ascii="Times New Roman" w:hAnsi="Times New Roman" w:cs="Times New Roman"/>
          <w:sz w:val="28"/>
          <w:szCs w:val="28"/>
          <w:highlight w:val="green"/>
        </w:rPr>
        <w:t>реакции</w:t>
      </w:r>
      <w:r w:rsidR="00AC04C1">
        <w:rPr>
          <w:rFonts w:ascii="Times New Roman" w:hAnsi="Times New Roman" w:cs="Times New Roman"/>
          <w:sz w:val="28"/>
          <w:szCs w:val="28"/>
        </w:rPr>
        <w:t xml:space="preserve"> </w:t>
      </w:r>
      <w:r w:rsidRPr="00415E90">
        <w:rPr>
          <w:rFonts w:ascii="Times New Roman" w:hAnsi="Times New Roman" w:cs="Times New Roman"/>
          <w:sz w:val="28"/>
          <w:szCs w:val="28"/>
        </w:rPr>
        <w:t xml:space="preserve">и состояния интерфейса, приводит к систематическим различиям между химическими системами уже на начальном этапе их эксплуатации. Именно по этой причине универсальная прогностическая модель не может строиться как простая регрессия по одной батарее одного типа; </w:t>
      </w:r>
      <w:r w:rsidRPr="00415E90">
        <w:rPr>
          <w:rFonts w:ascii="Times New Roman" w:hAnsi="Times New Roman" w:cs="Times New Roman"/>
          <w:sz w:val="28"/>
          <w:szCs w:val="28"/>
        </w:rPr>
        <w:lastRenderedPageBreak/>
        <w:t>она должна учитывать класс химической системы как самостоятельный параметр.</w:t>
      </w:r>
    </w:p>
    <w:p w14:paraId="06C59DAB" w14:textId="41A42341" w:rsidR="00423027" w:rsidRPr="00C7589D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3027">
        <w:rPr>
          <w:rFonts w:ascii="Times New Roman" w:hAnsi="Times New Roman" w:cs="Times New Roman"/>
          <w:sz w:val="28"/>
          <w:szCs w:val="28"/>
        </w:rPr>
        <w:t>Сопоставление энергетических, мощностных и ресурсных индексов различных химических систем позволяет увидеть, что ни одна из них не является доминирующей одновременно по всем критериям. Это означает, что задачи диагностики и прогноза ресурса должны решаться не для «средней абстрактной батареи», а для батареи определённой химической природы, включённой в конкретный эксплуатационный сценарий.</w:t>
      </w:r>
    </w:p>
    <w:p w14:paraId="3D9DD619" w14:textId="77777777" w:rsidR="00552AA7" w:rsidRPr="00C7589D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7D1E0" w14:textId="1FB0F02E" w:rsidR="00552AA7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47975432">
            <wp:extent cx="6119495" cy="3527425"/>
            <wp:effectExtent l="0" t="0" r="0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2BE7" w14:textId="48F34DA0" w:rsidR="00AB1175" w:rsidRPr="00C7589D" w:rsidRDefault="00AB11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175">
        <w:rPr>
          <w:rFonts w:ascii="Times New Roman" w:hAnsi="Times New Roman" w:cs="Times New Roman"/>
          <w:sz w:val="28"/>
          <w:szCs w:val="28"/>
        </w:rPr>
        <w:t>Рисунок 1.3 — Сравнительные эксплуатационные индексы опытных батарей различных химических систем</w:t>
      </w:r>
    </w:p>
    <w:p w14:paraId="754FC30E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C7E4B" w14:textId="1B41147D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6AE">
        <w:rPr>
          <w:rFonts w:ascii="Times New Roman" w:hAnsi="Times New Roman" w:cs="Times New Roman"/>
          <w:sz w:val="28"/>
          <w:szCs w:val="28"/>
        </w:rPr>
        <w:t xml:space="preserve">На рисунке в нормированном виде сопоставлены три группы показателей: энергоёмкость, мощностной потенциал и циклический ресурс для NMC, LFP, LTO и Na-ion систем. Нормирование выполнено по максимальному значению </w:t>
      </w:r>
      <w:r w:rsidRPr="000A06AE">
        <w:rPr>
          <w:rFonts w:ascii="Times New Roman" w:hAnsi="Times New Roman" w:cs="Times New Roman"/>
          <w:sz w:val="28"/>
          <w:szCs w:val="28"/>
        </w:rPr>
        <w:lastRenderedPageBreak/>
        <w:t>внутри каждой группы показателей, что позволяет корректно сравнивать системы с различной размерностью исходных величин.</w:t>
      </w:r>
    </w:p>
    <w:p w14:paraId="14371F55" w14:textId="2D14F396" w:rsidR="003070C4" w:rsidRPr="00C7589D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C4">
        <w:rPr>
          <w:rFonts w:ascii="Times New Roman" w:hAnsi="Times New Roman" w:cs="Times New Roman"/>
          <w:sz w:val="28"/>
          <w:szCs w:val="28"/>
        </w:rPr>
        <w:t>Из рисунка следует, что NMC обеспечивает наибольшую энергоёмкость, но уступает LTO по мощностному потенциалу и ресурсу; LFP занимает промежуточное положение и демонстрирует оптимальный компромисс между ресурсом и удельной мощностью; LTO резко выделяется по ресурсу и мощностным характеристикам при наименьшей энергоёмкости; Na-ion система уступает NMC по энергоёмкости и LTO по мощности, но сохраняет перспективность как альтернативная тяговая система при умеренных требованиях к плотности энергии.</w:t>
      </w:r>
    </w:p>
    <w:p w14:paraId="54808F0B" w14:textId="6FFF1CF2" w:rsidR="001016FF" w:rsidRPr="00C7589D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16F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формирует основание для многокритериального подхода к диагностике и прогнозированию ресурса. Иначе говоря, ресурсная модель должна быть химически адаптивной, а не химически нейтральной. Практическая польза рисунка заключается в том, что он позволяет обосновать выбор химии под конкретный транспортный сценарий и одновременно показывает, почему единая система диагностики должна включать поправочные коэффициенты, учитывающие класс аккумулятора.</w:t>
      </w:r>
    </w:p>
    <w:p w14:paraId="7805E6C3" w14:textId="2B072565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450">
        <w:rPr>
          <w:rFonts w:ascii="Times New Roman" w:hAnsi="Times New Roman" w:cs="Times New Roman"/>
          <w:sz w:val="28"/>
          <w:szCs w:val="28"/>
        </w:rPr>
        <w:t>Таким образом, тяговая аккумуляторная батарея в составе электротранспортного комплекса является многопараметрическим объектом, для которого энергетические, тепловые, мощностные и деградационные процессы протекают совместно и во взаимном влиянии. Для NMC, LFP, LTO и Na-ion систем эти процессы развиваются по различным траекториям, что требует перехода от узкой химически специфичной диагностики к более общей унифицированной модели. Такой переход имеет принципиальное значение для всей дальнейшей логики диссертации, поскольку позволяет поставить задачу не только диагностики текущего состояния, но и прогноза остаточного ресурса по импедансным параметрам в условиях нестационарной эксплуатации электротранспорта.</w:t>
      </w:r>
    </w:p>
    <w:p w14:paraId="414B3E00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2B0FD" w14:textId="042E9E65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sz w:val="28"/>
          <w:szCs w:val="28"/>
        </w:rPr>
        <w:lastRenderedPageBreak/>
        <w:t>1.2 Механизмы деградации NMC, LFP, LTO и Na-ion аккумуляторных систем</w:t>
      </w:r>
    </w:p>
    <w:p w14:paraId="2A1A5BF8" w14:textId="77777777" w:rsidR="00F2275A" w:rsidRPr="00C7589D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50DD6" w14:textId="71E5CEDF" w:rsidR="00AE27B1" w:rsidRDefault="00681EE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EE6">
        <w:rPr>
          <w:rFonts w:ascii="Times New Roman" w:hAnsi="Times New Roman" w:cs="Times New Roman"/>
          <w:sz w:val="28"/>
          <w:szCs w:val="28"/>
        </w:rPr>
        <w:t xml:space="preserve">Деградация тяговых аккумуляторных батарей представляет собой совокупность необратимых процессов, приводящих к снижению доступной ёмкости, росту внутреннего импеданса, падению допустимой мощности и ухудшению тепловой устойчивости. Современные обзоры по старению литий-ионных систем сходятся в том, что основные наблюдаемые эффекты — это потеря </w:t>
      </w:r>
      <w:r w:rsidRPr="00250E7D">
        <w:rPr>
          <w:rFonts w:ascii="Times New Roman" w:hAnsi="Times New Roman" w:cs="Times New Roman"/>
          <w:sz w:val="28"/>
          <w:szCs w:val="28"/>
          <w:highlight w:val="yellow"/>
        </w:rPr>
        <w:t>циклируемого</w:t>
      </w:r>
      <w:r w:rsidRPr="00681EE6">
        <w:rPr>
          <w:rFonts w:ascii="Times New Roman" w:hAnsi="Times New Roman" w:cs="Times New Roman"/>
          <w:sz w:val="28"/>
          <w:szCs w:val="28"/>
        </w:rPr>
        <w:t xml:space="preserve"> лития, потеря активного материала, рост межфазных сопротивлений, ухудшение электролитного транспорта и структурная деградация электродов; при этом итоговыми макропроявлениями являются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снижение ёмкости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r w:rsidRPr="00250E7D">
        <w:rPr>
          <w:rFonts w:ascii="Times New Roman" w:hAnsi="Times New Roman" w:cs="Times New Roman"/>
          <w:sz w:val="28"/>
          <w:szCs w:val="28"/>
          <w:highlight w:val="red"/>
        </w:rPr>
        <w:t>capacity fade</w:t>
      </w:r>
      <w:r w:rsidRPr="00681EE6">
        <w:rPr>
          <w:rFonts w:ascii="Times New Roman" w:hAnsi="Times New Roman" w:cs="Times New Roman"/>
          <w:sz w:val="28"/>
          <w:szCs w:val="28"/>
        </w:rPr>
        <w:t xml:space="preserve"> и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увеличением импеданса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r w:rsidRPr="00250E7D">
        <w:rPr>
          <w:rFonts w:ascii="Times New Roman" w:hAnsi="Times New Roman" w:cs="Times New Roman"/>
          <w:sz w:val="28"/>
          <w:szCs w:val="28"/>
          <w:highlight w:val="red"/>
        </w:rPr>
        <w:t>impedance rise</w:t>
      </w:r>
      <w:r w:rsidRPr="00681EE6">
        <w:rPr>
          <w:rFonts w:ascii="Times New Roman" w:hAnsi="Times New Roman" w:cs="Times New Roman"/>
          <w:sz w:val="28"/>
          <w:szCs w:val="28"/>
        </w:rPr>
        <w:t>.</w:t>
      </w:r>
    </w:p>
    <w:p w14:paraId="749AA03B" w14:textId="586E47EC" w:rsidR="00522B5B" w:rsidRDefault="00522B5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B5B">
        <w:rPr>
          <w:rFonts w:ascii="Times New Roman" w:hAnsi="Times New Roman" w:cs="Times New Roman"/>
          <w:sz w:val="28"/>
          <w:szCs w:val="28"/>
        </w:rPr>
        <w:t xml:space="preserve">С физико-математической точки зрения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деградационный</w:t>
      </w:r>
      <w:r w:rsidRPr="00522B5B">
        <w:rPr>
          <w:rFonts w:ascii="Times New Roman" w:hAnsi="Times New Roman" w:cs="Times New Roman"/>
          <w:sz w:val="28"/>
          <w:szCs w:val="28"/>
        </w:rPr>
        <w:t xml:space="preserve"> процесс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522B5B">
        <w:rPr>
          <w:rFonts w:ascii="Times New Roman" w:hAnsi="Times New Roman" w:cs="Times New Roman"/>
          <w:sz w:val="28"/>
          <w:szCs w:val="28"/>
        </w:rPr>
        <w:t xml:space="preserve">удобно рассматривать как эволюцию внутреннего состояния системы под действием электрохимических, диффузионных, тепловых и механических факторов. Пусть   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D</w:t>
      </w:r>
      <w:r w:rsidRPr="00522B5B">
        <w:rPr>
          <w:rFonts w:ascii="Times New Roman" w:hAnsi="Times New Roman" w:cs="Times New Roman"/>
          <w:sz w:val="28"/>
          <w:szCs w:val="28"/>
        </w:rPr>
        <w:t>(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t</w:t>
      </w:r>
      <w:r w:rsidRPr="00522B5B">
        <w:rPr>
          <w:rFonts w:ascii="Times New Roman" w:hAnsi="Times New Roman" w:cs="Times New Roman"/>
          <w:sz w:val="28"/>
          <w:szCs w:val="28"/>
        </w:rPr>
        <w:t>) деградации. Тогда в обобщённой форме можно записать</w:t>
      </w:r>
    </w:p>
    <w:p w14:paraId="29275B8A" w14:textId="77777777" w:rsidR="00AE27B1" w:rsidRDefault="00AE27B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28C990" w14:textId="7630A665" w:rsidR="0057524C" w:rsidRP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48B0">
        <w:rPr>
          <w:rFonts w:ascii="Times New Roman" w:hAnsi="Times New Roman" w:cs="Times New Roman"/>
          <w:position w:val="-24"/>
          <w:sz w:val="28"/>
          <w:szCs w:val="28"/>
        </w:rPr>
        <w:object w:dxaOrig="3379" w:dyaOrig="620" w14:anchorId="438A2006">
          <v:shape id="_x0000_i1032" type="#_x0000_t75" style="width:168.2pt;height:31.1pt" o:ole="">
            <v:imagedata r:id="rId27" o:title=""/>
          </v:shape>
          <o:OLEObject Type="Embed" ProgID="Equation.DSMT4" ShapeID="_x0000_i1032" DrawAspect="Content" ObjectID="_1841744457" r:id="rId28"/>
        </w:object>
      </w:r>
    </w:p>
    <w:p w14:paraId="01F43E17" w14:textId="17589237" w:rsidR="0057524C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5641733" w14:textId="7ED7BF77" w:rsid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SEI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</w:t>
      </w:r>
      <w:r w:rsidR="0044617A" w:rsidRPr="0044617A">
        <w:rPr>
          <w:rFonts w:ascii="Times New Roman" w:hAnsi="Times New Roman" w:cs="Times New Roman"/>
          <w:sz w:val="28"/>
          <w:szCs w:val="28"/>
        </w:rPr>
        <w:t>характеризует рост межфазного слоя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</w:p>
    <w:p w14:paraId="51612183" w14:textId="3DAAAB9E" w:rsidR="0044617A" w:rsidRPr="00341ACE" w:rsidRDefault="0044617A" w:rsidP="0044617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LLI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потерю циклируемого лития или натрия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1F68303" w14:textId="5A98A2F9" w:rsidR="00341ACE" w:rsidRPr="00341ACE" w:rsidRDefault="00341ACE" w:rsidP="00341AC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LAM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341ACE">
        <w:rPr>
          <w:rFonts w:ascii="Times New Roman" w:hAnsi="Times New Roman" w:cs="Times New Roman"/>
          <w:sz w:val="28"/>
          <w:szCs w:val="28"/>
        </w:rPr>
        <w:t>потерю активного материала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50C285C" w14:textId="0B308F91" w:rsidR="0006550F" w:rsidRPr="00341ACE" w:rsidRDefault="0006550F" w:rsidP="0006550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06550F">
        <w:rPr>
          <w:rFonts w:ascii="Times New Roman" w:hAnsi="Times New Roman" w:cs="Times New Roman"/>
          <w:sz w:val="28"/>
          <w:szCs w:val="28"/>
        </w:rPr>
        <w:t>вклад температуры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9CB4A8" w14:textId="10005990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mech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8D4C53">
        <w:rPr>
          <w:rFonts w:ascii="Times New Roman" w:hAnsi="Times New Roman" w:cs="Times New Roman"/>
          <w:sz w:val="28"/>
          <w:szCs w:val="28"/>
        </w:rPr>
        <w:t>механодеструкцию частиц и контактов.</w:t>
      </w:r>
    </w:p>
    <w:p w14:paraId="46B37C97" w14:textId="77777777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FD32E" w14:textId="68F6D3EA" w:rsidR="0044617A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4B9">
        <w:rPr>
          <w:rFonts w:ascii="Times New Roman" w:hAnsi="Times New Roman" w:cs="Times New Roman"/>
          <w:sz w:val="28"/>
          <w:szCs w:val="28"/>
        </w:rPr>
        <w:lastRenderedPageBreak/>
        <w:t>Наиболее универсальным следствием старения является рост сопротивления переноса заряда. Это следует из линеаризованного уравнения Батлера–Фольмера:</w:t>
      </w:r>
    </w:p>
    <w:p w14:paraId="453664FE" w14:textId="77777777" w:rsidR="00F564B9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AF2661" w14:textId="7B8014E3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0B2B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960" w:dyaOrig="680" w14:anchorId="4A0E180C">
          <v:shape id="_x0000_i1033" type="#_x0000_t75" style="width:47.8pt;height:34pt" o:ole="">
            <v:imagedata r:id="rId29" o:title=""/>
          </v:shape>
          <o:OLEObject Type="Embed" ProgID="Equation.DSMT4" ShapeID="_x0000_i1033" DrawAspect="Content" ObjectID="_1841744458" r:id="rId30"/>
        </w:object>
      </w:r>
    </w:p>
    <w:p w14:paraId="5544E993" w14:textId="1098940E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1F875F" w14:textId="39158485" w:rsidR="004D0B2B" w:rsidRDefault="002E572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572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2E572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2E572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обменный ток реакции.</w:t>
      </w:r>
    </w:p>
    <w:p w14:paraId="0112FE17" w14:textId="256F6DFF" w:rsidR="002E5720" w:rsidRDefault="00904F4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F4D">
        <w:rPr>
          <w:rFonts w:ascii="Times New Roman" w:hAnsi="Times New Roman" w:cs="Times New Roman"/>
          <w:sz w:val="28"/>
          <w:szCs w:val="28"/>
        </w:rPr>
        <w:t>Если в процессе старения уменьшается эффективная активная площадь, снижается доступность реакционных центров или ухудшается межфазная кинетика, обменный ток уменьшается,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04F4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04F4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04F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возрастает. 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Именно поэтому параметр 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 рассматривается в работе как один из ключевых диагностических и прогностических признаков.</w:t>
      </w:r>
      <w:r w:rsidR="004D0025">
        <w:rPr>
          <w:rFonts w:ascii="Times New Roman" w:hAnsi="Times New Roman" w:cs="Times New Roman"/>
          <w:sz w:val="28"/>
          <w:szCs w:val="28"/>
        </w:rPr>
        <w:t xml:space="preserve"> </w:t>
      </w:r>
      <w:r w:rsidR="005F331D" w:rsidRPr="005F331D">
        <w:rPr>
          <w:rFonts w:ascii="Times New Roman" w:hAnsi="Times New Roman" w:cs="Times New Roman"/>
          <w:sz w:val="28"/>
          <w:szCs w:val="28"/>
        </w:rPr>
        <w:t>Такой выбор согласуется и с современными исследованиями по EIS-диагностике, и с логикой уже сформированного каркаса диссертации.</w:t>
      </w:r>
    </w:p>
    <w:p w14:paraId="447C810E" w14:textId="0F527CC7" w:rsidR="005F33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>Не менее важен процесс роста межфазного слоя на отрицательном электроде. В первом приближении его можно связать с диффузионно-ограниченным режимом. Если толщина межфазного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i/>
          <w:iCs/>
          <w:sz w:val="28"/>
          <w:szCs w:val="28"/>
        </w:rPr>
        <w:t>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 xml:space="preserve">определяется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транспортом</w:t>
      </w:r>
      <w:r w:rsidRPr="00381AA1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переносом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>реагентов через уже сформировавшийся слой, то на основе второго закона Фика</w:t>
      </w:r>
    </w:p>
    <w:p w14:paraId="128767FE" w14:textId="77777777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48867E" w14:textId="67B8AB32" w:rsidR="00381AA1" w:rsidRP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position w:val="-24"/>
          <w:sz w:val="28"/>
          <w:szCs w:val="28"/>
        </w:rPr>
        <w:object w:dxaOrig="1280" w:dyaOrig="660" w14:anchorId="5867754B">
          <v:shape id="_x0000_i1034" type="#_x0000_t75" style="width:63.95pt;height:32.25pt" o:ole="">
            <v:imagedata r:id="rId31" o:title=""/>
          </v:shape>
          <o:OLEObject Type="Embed" ProgID="Equation.DSMT4" ShapeID="_x0000_i1034" DrawAspect="Content" ObjectID="_1841744459" r:id="rId32"/>
        </w:object>
      </w:r>
    </w:p>
    <w:p w14:paraId="3A125241" w14:textId="6560001D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sz w:val="28"/>
          <w:szCs w:val="28"/>
        </w:rPr>
        <w:t xml:space="preserve">получается </w:t>
      </w:r>
      <w:r w:rsidRPr="00381AA1">
        <w:rPr>
          <w:rFonts w:ascii="Times New Roman" w:hAnsi="Times New Roman" w:cs="Times New Roman"/>
          <w:sz w:val="28"/>
          <w:szCs w:val="28"/>
          <w:highlight w:val="yellow"/>
        </w:rPr>
        <w:t>корневой</w:t>
      </w:r>
      <w:r w:rsidRPr="00381AA1">
        <w:rPr>
          <w:rFonts w:ascii="Times New Roman" w:hAnsi="Times New Roman" w:cs="Times New Roman"/>
          <w:sz w:val="28"/>
          <w:szCs w:val="28"/>
        </w:rPr>
        <w:t xml:space="preserve"> закон роста</w:t>
      </w:r>
    </w:p>
    <w:p w14:paraId="16374A4B" w14:textId="16D6BF70" w:rsidR="00381AA1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603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040" w:dyaOrig="420" w14:anchorId="3514237A">
          <v:shape id="_x0000_i1035" type="#_x0000_t75" style="width:51.25pt;height:21.3pt" o:ole="">
            <v:imagedata r:id="rId33" o:title=""/>
          </v:shape>
          <o:OLEObject Type="Embed" ProgID="Equation.DSMT4" ShapeID="_x0000_i1035" DrawAspect="Content" ObjectID="_1841744460" r:id="rId34"/>
        </w:object>
      </w:r>
    </w:p>
    <w:p w14:paraId="4EF5A9C2" w14:textId="04E912EB" w:rsidR="00F96030" w:rsidRPr="00A07748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30">
        <w:rPr>
          <w:rFonts w:ascii="Times New Roman" w:hAnsi="Times New Roman" w:cs="Times New Roman"/>
          <w:sz w:val="28"/>
          <w:szCs w:val="28"/>
        </w:rPr>
        <w:t>Отсюда следует и корневой закон роста межфазного сопротивления:</w:t>
      </w:r>
    </w:p>
    <w:p w14:paraId="6CB04624" w14:textId="5714D378" w:rsidR="00F96030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157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240" w:dyaOrig="400" w14:anchorId="61CEF41B">
          <v:shape id="_x0000_i1036" type="#_x0000_t75" style="width:62.8pt;height:20.75pt" o:ole="">
            <v:imagedata r:id="rId35" o:title=""/>
          </v:shape>
          <o:OLEObject Type="Embed" ProgID="Equation.DSMT4" ShapeID="_x0000_i1036" DrawAspect="Content" ObjectID="_1841744461" r:id="rId36"/>
        </w:object>
      </w:r>
    </w:p>
    <w:p w14:paraId="34578846" w14:textId="7C8EB4D6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Эта зависимость особенно важна для объяснения ранней стадии старения, когда снижение ёмкости ещё умеренно, а рост сопротивления уже становится заметным. В дальнейшем, по мере вовлечения механических и структурных механизмов, зависимость может стать близкой к линейной или даже сверхлинейной.</w:t>
      </w:r>
    </w:p>
    <w:p w14:paraId="2496D034" w14:textId="4D2B51DF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Температурная составляющая старения подчиняется закону Аррениуса:</w:t>
      </w:r>
    </w:p>
    <w:p w14:paraId="35BC6A69" w14:textId="77777777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BB8E95" w14:textId="2CE4140A" w:rsidR="00F35630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C7EA1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2079" w:dyaOrig="680" w14:anchorId="525A4C2A">
          <v:shape id="_x0000_i1037" type="#_x0000_t75" style="width:103.7pt;height:34pt" o:ole="">
            <v:imagedata r:id="rId37" o:title=""/>
          </v:shape>
          <o:OLEObject Type="Embed" ProgID="Equation.DSMT4" ShapeID="_x0000_i1037" DrawAspect="Content" ObjectID="_1841744462" r:id="rId38"/>
        </w:object>
      </w:r>
    </w:p>
    <w:p w14:paraId="7BCDAFA9" w14:textId="47407904" w:rsidR="00F35630" w:rsidRP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6C7EA1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6C7EA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r w:rsidRPr="006C7EA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C7EA1">
        <w:rPr>
          <w:rFonts w:ascii="Times New Roman" w:hAnsi="Times New Roman" w:cs="Times New Roman"/>
          <w:sz w:val="28"/>
          <w:szCs w:val="28"/>
        </w:rPr>
        <w:t>– энергия активации деградационного процесса.</w:t>
      </w:r>
    </w:p>
    <w:p w14:paraId="419344D0" w14:textId="7150AC78" w:rsid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EA1">
        <w:rPr>
          <w:rFonts w:ascii="Times New Roman" w:hAnsi="Times New Roman" w:cs="Times New Roman"/>
          <w:sz w:val="28"/>
          <w:szCs w:val="28"/>
        </w:rPr>
        <w:t xml:space="preserve">Применение этой формулы в данной работе обосновано тем, что межфазные реакции, разложение электролита, растворение переходных металлов, газообразование и многие формы структурной релаксации являются термоактивируемыми. Следовательно, даже одинаковая химическая система при разных тепловых режимах будет демонстрировать различную траекторию деградации. Современные обзоры по NMC, LFP и LTO системам подтверждают критическую роль температуры и </w:t>
      </w:r>
      <w:r w:rsidRPr="00C365AA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SOC</w:t>
      </w:r>
      <w:r w:rsidRPr="00C365AA">
        <w:rPr>
          <w:rFonts w:ascii="Times New Roman" w:hAnsi="Times New Roman" w:cs="Times New Roman"/>
          <w:sz w:val="28"/>
          <w:szCs w:val="28"/>
          <w:highlight w:val="yellow"/>
        </w:rPr>
        <w:t>-окна</w:t>
      </w:r>
      <w:r w:rsidRPr="006C7EA1">
        <w:rPr>
          <w:rFonts w:ascii="Times New Roman" w:hAnsi="Times New Roman" w:cs="Times New Roman"/>
          <w:sz w:val="28"/>
          <w:szCs w:val="28"/>
        </w:rPr>
        <w:t xml:space="preserve"> в старении аккумуляторов.</w:t>
      </w:r>
    </w:p>
    <w:p w14:paraId="711F7B32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91347" w14:textId="0501B371" w:rsidR="008E688D" w:rsidRP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688D">
        <w:rPr>
          <w:rFonts w:ascii="Times New Roman" w:hAnsi="Times New Roman" w:cs="Times New Roman"/>
          <w:b/>
          <w:bCs/>
          <w:sz w:val="28"/>
          <w:szCs w:val="28"/>
        </w:rPr>
        <w:t>1.2.1 Деградация аккумуляторов типа NMC</w:t>
      </w:r>
    </w:p>
    <w:p w14:paraId="2E8E8358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B82EC" w14:textId="6703216D" w:rsidR="008E688D" w:rsidRDefault="0050726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7266">
        <w:rPr>
          <w:rFonts w:ascii="Times New Roman" w:hAnsi="Times New Roman" w:cs="Times New Roman"/>
          <w:sz w:val="28"/>
          <w:szCs w:val="28"/>
        </w:rPr>
        <w:t xml:space="preserve">Для аккумуляторов на основе никель-марганец-кобальтовых оксидов характерно сочетание высокой удельной энергии с повышенной чувствительностью к структурной и межфазной деградации. Современные обзоры показывают, что для NMC-систем наиболее типичны </w:t>
      </w:r>
      <w:r w:rsidRPr="00245DDD">
        <w:rPr>
          <w:rFonts w:ascii="Times New Roman" w:hAnsi="Times New Roman" w:cs="Times New Roman"/>
          <w:sz w:val="28"/>
          <w:szCs w:val="28"/>
          <w:highlight w:val="red"/>
        </w:rPr>
        <w:t>микротрещинообразование</w:t>
      </w:r>
      <w:r w:rsidR="00245DDD">
        <w:rPr>
          <w:rFonts w:ascii="Times New Roman" w:hAnsi="Times New Roman" w:cs="Times New Roman"/>
          <w:sz w:val="28"/>
          <w:szCs w:val="28"/>
        </w:rPr>
        <w:t xml:space="preserve"> 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образование микротрещим</w:t>
      </w:r>
      <w:r w:rsidRPr="00507266">
        <w:rPr>
          <w:rFonts w:ascii="Times New Roman" w:hAnsi="Times New Roman" w:cs="Times New Roman"/>
          <w:sz w:val="28"/>
          <w:szCs w:val="28"/>
        </w:rPr>
        <w:t xml:space="preserve"> вторичных частиц, деградация поверхности катода, растворение переходных металлов, катионное </w:t>
      </w:r>
      <w:r w:rsidRPr="00507266">
        <w:rPr>
          <w:rFonts w:ascii="Times New Roman" w:hAnsi="Times New Roman" w:cs="Times New Roman"/>
          <w:sz w:val="28"/>
          <w:szCs w:val="28"/>
        </w:rPr>
        <w:lastRenderedPageBreak/>
        <w:t xml:space="preserve">смешение, кислородная нестабильность при высоких степенях делитирования и ускоренное взаимодействие катода с электролитом, особенно у 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Ni</w:t>
      </w:r>
      <w:r w:rsidR="00376127" w:rsidRPr="00376127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rich</w:t>
      </w:r>
      <w:r w:rsidR="00245DDD">
        <w:rPr>
          <w:rFonts w:ascii="Times New Roman" w:hAnsi="Times New Roman" w:cs="Times New Roman"/>
          <w:sz w:val="28"/>
          <w:szCs w:val="28"/>
        </w:rPr>
        <w:t>(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богатых литием</w:t>
      </w:r>
      <w:r w:rsidR="00245DDD">
        <w:rPr>
          <w:rFonts w:ascii="Times New Roman" w:hAnsi="Times New Roman" w:cs="Times New Roman"/>
          <w:sz w:val="28"/>
          <w:szCs w:val="28"/>
        </w:rPr>
        <w:t>)</w:t>
      </w:r>
      <w:r w:rsidRPr="00507266">
        <w:rPr>
          <w:rFonts w:ascii="Times New Roman" w:hAnsi="Times New Roman" w:cs="Times New Roman"/>
          <w:sz w:val="28"/>
          <w:szCs w:val="28"/>
        </w:rPr>
        <w:t xml:space="preserve"> композиций.</w:t>
      </w:r>
    </w:p>
    <w:p w14:paraId="4196AE20" w14:textId="19A2E604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С точки зрения кинетики старения это означает, что деградация NMC идёт одновременно по двум связанным контурам. Первый контур — катодный: структурная перестройка кристаллической решётки, накопление механических дефектов, потеря электрического контакта между частицами и рост межфазной реакционной активности. Второй контур — анодный и межсистемный: осаждение продуктов побочных реакций, изменение состава SEI, перенос растворившихся переходных металлов к аноду и ускорение потери циклируемого лития. В спектре импеданса это, как правило, проявляется сравнительно быстрым ростом полукруга переноса заряда и последующим усилением низкочастотной диффузионной компоненты.</w:t>
      </w:r>
    </w:p>
    <w:p w14:paraId="5CB1984D" w14:textId="295EF8AC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В математической форме деградацию NMC-элемента удобно описывать как сумму структурной и межфазной составляющих:</w:t>
      </w:r>
    </w:p>
    <w:p w14:paraId="1D447F22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05500C" w14:textId="67C3E144" w:rsidR="00376127" w:rsidRPr="009726DE" w:rsidRDefault="009726D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26DE">
        <w:rPr>
          <w:rFonts w:ascii="Times New Roman" w:hAnsi="Times New Roman" w:cs="Times New Roman"/>
          <w:position w:val="-12"/>
          <w:sz w:val="28"/>
          <w:szCs w:val="28"/>
        </w:rPr>
        <w:object w:dxaOrig="3760" w:dyaOrig="400" w14:anchorId="1D68E6E1">
          <v:shape id="_x0000_i1038" type="#_x0000_t75" style="width:188.35pt;height:20.75pt" o:ole="">
            <v:imagedata r:id="rId39" o:title=""/>
          </v:shape>
          <o:OLEObject Type="Embed" ProgID="Equation.DSMT4" ShapeID="_x0000_i1038" DrawAspect="Content" ObjectID="_1841744463" r:id="rId40"/>
        </w:object>
      </w:r>
    </w:p>
    <w:p w14:paraId="32C46078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F556D7" w14:textId="606938D6" w:rsidR="009726DE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772">
        <w:rPr>
          <w:rFonts w:ascii="Times New Roman" w:hAnsi="Times New Roman" w:cs="Times New Roman"/>
          <w:sz w:val="28"/>
          <w:szCs w:val="28"/>
        </w:rPr>
        <w:t xml:space="preserve">Первое слагаемое отражает раннюю диффузионно-контролируемую стадию роста межфазного сопротивления, второе — квазилинейную стадию накопления потерь активного лития и активного материала, третье — позднюю стадию ускоренной деградации, когда механические нарушения катода начинают резко усиливать рост внутреннего импеданса. Такая форма модели особенно хорошо согласуется с наблюдаемой для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Ni-rich</w:t>
      </w:r>
      <w:r w:rsidRPr="00363772">
        <w:rPr>
          <w:rFonts w:ascii="Times New Roman" w:hAnsi="Times New Roman" w:cs="Times New Roman"/>
          <w:sz w:val="28"/>
          <w:szCs w:val="28"/>
        </w:rPr>
        <w:t xml:space="preserve"> NMC переходной динамикой от плавного старта к ускоренному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="000D55DB">
        <w:rPr>
          <w:rFonts w:ascii="Times New Roman" w:hAnsi="Times New Roman" w:cs="Times New Roman"/>
          <w:sz w:val="28"/>
          <w:szCs w:val="28"/>
        </w:rPr>
        <w:t xml:space="preserve"> (</w:t>
      </w:r>
      <w:r w:rsidR="000D55DB" w:rsidRPr="006721FE">
        <w:rPr>
          <w:rFonts w:ascii="Times New Roman" w:hAnsi="Times New Roman" w:cs="Times New Roman"/>
          <w:sz w:val="28"/>
          <w:szCs w:val="28"/>
          <w:highlight w:val="green"/>
        </w:rPr>
        <w:t>снижение способности батареи передавать или поглощать энергию с определённой скоростью</w:t>
      </w:r>
      <w:r w:rsidR="000D55DB">
        <w:rPr>
          <w:rFonts w:ascii="Times New Roman" w:hAnsi="Times New Roman" w:cs="Times New Roman"/>
          <w:sz w:val="28"/>
          <w:szCs w:val="28"/>
        </w:rPr>
        <w:t>)</w:t>
      </w:r>
      <w:r w:rsidRPr="00363772">
        <w:rPr>
          <w:rFonts w:ascii="Times New Roman" w:hAnsi="Times New Roman" w:cs="Times New Roman"/>
          <w:sz w:val="28"/>
          <w:szCs w:val="28"/>
        </w:rPr>
        <w:t>.</w:t>
      </w:r>
    </w:p>
    <w:p w14:paraId="0B322843" w14:textId="77777777" w:rsidR="00363772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ADD99" w14:textId="239FC8A2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1B3E">
        <w:rPr>
          <w:rFonts w:ascii="Times New Roman" w:hAnsi="Times New Roman" w:cs="Times New Roman"/>
          <w:b/>
          <w:bCs/>
          <w:sz w:val="28"/>
          <w:szCs w:val="28"/>
        </w:rPr>
        <w:lastRenderedPageBreak/>
        <w:t>1.2.2 Деградация аккумуляторов типа LFP</w:t>
      </w:r>
    </w:p>
    <w:p w14:paraId="15463BF4" w14:textId="77777777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A2B8FE" w14:textId="2DF29F8B" w:rsidR="00AD1B3E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>Литий-железо-фосфатные аккумуляторы характеризуются более высокой термической стабильностью, развитой эксплуатационной безопасностью и, как правило, большим циклическим ресурсом по сравнению с NMC. Эти свойства связаны с оливиновой структурой LiFePO, которая термодинамически более устойчива и менее склонна к кислородной нестабильности, однако имеет меньшую собственную электронную проводимость и одномерные каналы диффузии лития. Современные обзоры LFP подчёркивают именно эту двойственность: высокая структурная устойчивость сочетается с более жёсткими требованиями к проводящим покрытиям, размеру частиц и межфазной архитектуре.</w:t>
      </w:r>
    </w:p>
    <w:p w14:paraId="4862550E" w14:textId="51D5D344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Для LFP-систем ранняя деградация часто определяется не столько разрушением катода, сколько потерей циклируемого лития, деградацией графитового анода и постепенным ростом импеданса на фоне сокращения эффективной реакционной площади. Обзор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Wang и соавт.</w:t>
      </w:r>
      <w:r w:rsidRPr="0051321D">
        <w:rPr>
          <w:rFonts w:ascii="Times New Roman" w:hAnsi="Times New Roman" w:cs="Times New Roman"/>
          <w:sz w:val="28"/>
          <w:szCs w:val="28"/>
        </w:rPr>
        <w:t xml:space="preserve"> указывает, что на ранней стадии главным механизмом является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LLI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 xml:space="preserve"> (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leading to irreversible capacity degradation</w:t>
      </w:r>
      <w:r w:rsidR="00A37019" w:rsidRPr="00BB19A8">
        <w:rPr>
          <w:rFonts w:ascii="Times New Roman" w:hAnsi="Times New Roman" w:cs="Times New Roman"/>
          <w:sz w:val="28"/>
          <w:szCs w:val="28"/>
          <w:highlight w:val="yellow"/>
        </w:rPr>
        <w:t xml:space="preserve"> - </w:t>
      </w:r>
      <w:r w:rsidR="00A37019" w:rsidRPr="00A37019">
        <w:rPr>
          <w:rFonts w:ascii="Times New Roman" w:hAnsi="Times New Roman" w:cs="Times New Roman"/>
          <w:sz w:val="28"/>
          <w:szCs w:val="28"/>
          <w:highlight w:val="yellow"/>
        </w:rPr>
        <w:t>Необратимая потеря ёмкости в литий-ионных аккумуляторах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51321D">
        <w:rPr>
          <w:rFonts w:ascii="Times New Roman" w:hAnsi="Times New Roman" w:cs="Times New Roman"/>
          <w:sz w:val="28"/>
          <w:szCs w:val="28"/>
        </w:rPr>
        <w:t>, а затем всё большую роль начинают играть уменьшение активной площади и рост импеданса. Это особенно важно для диссертации, поскольку показывает: даже у сравнительно стабильной химии ключевой прогностический параметр должен быть связан не только с ёмкостью, но и с сопротивлением переноса заряда.</w:t>
      </w:r>
    </w:p>
    <w:p w14:paraId="707891A8" w14:textId="22465C4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Физически деградация LFP-системы связана с двухфазным механизмом </w:t>
      </w:r>
      <w:commentRangeStart w:id="3"/>
      <w:r w:rsidRPr="00BB19A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commentRangeEnd w:id="3"/>
      <w:r w:rsidR="00BB19A8" w:rsidRPr="00BB19A8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"/>
      </w:r>
      <w:r w:rsidRPr="00BB19A8">
        <w:rPr>
          <w:rFonts w:ascii="Times New Roman" w:hAnsi="Times New Roman" w:cs="Times New Roman"/>
          <w:sz w:val="28"/>
          <w:szCs w:val="28"/>
          <w:highlight w:val="yellow"/>
        </w:rPr>
        <w:t>/деинтеркаляции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 системе FePO/LiFePO. В простейшей одномерной постановке диффузия лития в частице описывается вторым законом Фика, а движение фазовой границы подчиняется условию </w:t>
      </w:r>
      <w:r w:rsidRPr="0051321D">
        <w:rPr>
          <w:rFonts w:ascii="Times New Roman" w:hAnsi="Times New Roman" w:cs="Times New Roman"/>
          <w:sz w:val="28"/>
          <w:szCs w:val="28"/>
          <w:highlight w:val="yellow"/>
        </w:rPr>
        <w:t>потока на интерфейсе</w:t>
      </w:r>
      <w:r w:rsidRPr="0051321D">
        <w:rPr>
          <w:rFonts w:ascii="Times New Roman" w:hAnsi="Times New Roman" w:cs="Times New Roman"/>
          <w:sz w:val="28"/>
          <w:szCs w:val="28"/>
        </w:rPr>
        <w:t xml:space="preserve">. В инженерной аппроксимации это приводит к тому, что параметр </w:t>
      </w:r>
      <w:r w:rsidRPr="0051321D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1321D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возрастает медленнее, чем у NMC, но роль диффузионной составляющей остаётся выраженной, особенно при низких температурах и высоких токах.</w:t>
      </w:r>
    </w:p>
    <w:p w14:paraId="6CBC50A9" w14:textId="14ADF4D4" w:rsidR="0051321D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EB4">
        <w:rPr>
          <w:rFonts w:ascii="Times New Roman" w:hAnsi="Times New Roman" w:cs="Times New Roman"/>
          <w:sz w:val="28"/>
          <w:szCs w:val="28"/>
        </w:rPr>
        <w:lastRenderedPageBreak/>
        <w:t>Для LFP в диссертационной постановке целесообразно использовать зависимость</w:t>
      </w:r>
    </w:p>
    <w:p w14:paraId="55D8F883" w14:textId="77777777" w:rsidR="00561EB4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E91A40" w14:textId="6F17183F" w:rsidR="00561EB4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3A31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3320" w:dyaOrig="440" w14:anchorId="55016605">
          <v:shape id="_x0000_i1039" type="#_x0000_t75" style="width:165.9pt;height:21.9pt" o:ole="">
            <v:imagedata r:id="rId41" o:title=""/>
          </v:shape>
          <o:OLEObject Type="Embed" ProgID="Equation.DSMT4" ShapeID="_x0000_i1039" DrawAspect="Content" ObjectID="_1841744464" r:id="rId42"/>
        </w:object>
      </w:r>
    </w:p>
    <w:p w14:paraId="24A7B5DB" w14:textId="77777777" w:rsidR="00561EB4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FA2A01" w14:textId="4C13F483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95CA341" w14:textId="3800C8D4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раннюю межфазную деградацию;</w:t>
      </w:r>
    </w:p>
    <w:p w14:paraId="5CF11EAE" w14:textId="49E083EF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за постепенное нарастание кинетических ограничений.</w:t>
      </w:r>
    </w:p>
    <w:p w14:paraId="34EB3E79" w14:textId="00787EE2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sz w:val="28"/>
          <w:szCs w:val="28"/>
        </w:rPr>
        <w:t>Такая форма позволяет описывать наблюдаемую в ресурсных тестах ситуацию, когда ёмкость уменьшается относительно плавно, но внутренний импеданс устойчиво растёт и начинает ограничивать прежде всего мощностные характеристики батареи.</w:t>
      </w:r>
    </w:p>
    <w:p w14:paraId="484DB3BC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95AE6E" w14:textId="56A0E18D" w:rsidR="00863A31" w:rsidRPr="008B66C9" w:rsidRDefault="008B66C9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E108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1.2.3 Деградация аккумуляторов типа LTO</w:t>
      </w:r>
    </w:p>
    <w:p w14:paraId="47729D60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92D56F" w14:textId="39F565FB" w:rsidR="008B66C9" w:rsidRPr="00A07748" w:rsidRDefault="00962A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2AB9">
        <w:rPr>
          <w:rFonts w:ascii="Times New Roman" w:hAnsi="Times New Roman" w:cs="Times New Roman"/>
          <w:sz w:val="28"/>
          <w:szCs w:val="28"/>
        </w:rPr>
        <w:t xml:space="preserve">Литий-титанатные системы принципиально отличаются от </w:t>
      </w:r>
      <w:r w:rsidRPr="001A49AA">
        <w:rPr>
          <w:rFonts w:ascii="Times New Roman" w:hAnsi="Times New Roman" w:cs="Times New Roman"/>
          <w:sz w:val="28"/>
          <w:szCs w:val="28"/>
          <w:highlight w:val="yellow"/>
        </w:rPr>
        <w:t>графитовых</w:t>
      </w:r>
      <w:r w:rsidRPr="00962AB9">
        <w:rPr>
          <w:rFonts w:ascii="Times New Roman" w:hAnsi="Times New Roman" w:cs="Times New Roman"/>
          <w:sz w:val="28"/>
          <w:szCs w:val="28"/>
        </w:rPr>
        <w:t xml:space="preserve"> литий-ионных батарей за счёт использования анода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Li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4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Ti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5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12</w:t>
      </w:r>
      <w:r w:rsidRPr="00962AB9">
        <w:rPr>
          <w:rFonts w:ascii="Times New Roman" w:hAnsi="Times New Roman" w:cs="Times New Roman"/>
          <w:sz w:val="28"/>
          <w:szCs w:val="28"/>
        </w:rPr>
        <w:t xml:space="preserve">. 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Для LTO-анода характерно так называемое </w:t>
      </w:r>
      <w:r w:rsidR="001A49AA" w:rsidRPr="001A49AA">
        <w:rPr>
          <w:rFonts w:ascii="Times New Roman" w:hAnsi="Times New Roman" w:cs="Times New Roman"/>
          <w:sz w:val="28"/>
          <w:szCs w:val="28"/>
          <w:highlight w:val="yellow"/>
        </w:rPr>
        <w:t>zero-strain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поведение, то есть минимальное изменение объёма при интеркаляции и деинтеркаляции лития. Именно это обстоятельство обеспечивает исключительно высокую циклическую стабильность, малую склонность к литиевому осаждению и хорошие высокомощностные свойства. Современные обзоры прямо связывают высокую долговечность LTO с near-zero strain характером анода.</w:t>
      </w:r>
    </w:p>
    <w:p w14:paraId="46EF66D8" w14:textId="336F7FFA" w:rsidR="00996796" w:rsidRPr="007649B5" w:rsidRDefault="007649B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9B5">
        <w:rPr>
          <w:rFonts w:ascii="Times New Roman" w:hAnsi="Times New Roman" w:cs="Times New Roman"/>
          <w:sz w:val="28"/>
          <w:szCs w:val="28"/>
        </w:rPr>
        <w:t xml:space="preserve">Однако у LTO имеются и принципиальные ограничения. Во-первых, такие системы уступают NMC и LFP по удельной энергии. Во-вторых, для LTO типичны сравнительно низкие электронная и ионная проводимости самого </w:t>
      </w:r>
      <w:r w:rsidRPr="007649B5">
        <w:rPr>
          <w:rFonts w:ascii="Times New Roman" w:hAnsi="Times New Roman" w:cs="Times New Roman"/>
          <w:sz w:val="28"/>
          <w:szCs w:val="28"/>
        </w:rPr>
        <w:lastRenderedPageBreak/>
        <w:t xml:space="preserve">анодного материала, из-за чего для реальных высокомощностных ячеек существенную роль играют архитектура электрода, проводящие добавки и межфазное сопротивление. Современные публикации также указывают на SOC-зависимое и температурно-ускоряемое старение, газообразование и образование поверхностных слоёв, особенно при жёстких режимах </w:t>
      </w:r>
      <w:r>
        <w:rPr>
          <w:rFonts w:ascii="Times New Roman" w:hAnsi="Times New Roman" w:cs="Times New Roman"/>
          <w:sz w:val="28"/>
          <w:szCs w:val="28"/>
        </w:rPr>
        <w:t xml:space="preserve">работы </w:t>
      </w:r>
      <w:r w:rsidRPr="007649B5">
        <w:rPr>
          <w:rFonts w:ascii="Times New Roman" w:hAnsi="Times New Roman" w:cs="Times New Roman"/>
          <w:sz w:val="28"/>
          <w:szCs w:val="28"/>
        </w:rPr>
        <w:t>и высоких температурах.</w:t>
      </w:r>
    </w:p>
    <w:p w14:paraId="635F8921" w14:textId="224ABCF1" w:rsidR="007649B5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>С импедансной точки зрения LTO-системы особенно интересны тем, что собственная деградация анода существенно подавлена, а рост сопротивления во многих конфигурациях определяется в большей степени катодной частью и межфазным сопротивлением, чем разрушением LTO-анода как такового. Это подтверждается и специализированным EIS-исследованием для Li-ion батарей с LTO-анодом, где было показано, что уменьшение ёмкости при циклировании главным образом связано с ростом межфазного сопротивления и деградацией катодной стороны.</w:t>
      </w:r>
    </w:p>
    <w:p w14:paraId="6ADAC690" w14:textId="6DEAFC0B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>Для целей диссертации это важно по двум причинам. Во-первых, LTO служит эталонной высокоресурсной системой, на которой удобно проверять чувствительность импедансных критериев к медленным деградационным процессам. Во-вторых, поведение LTO показывает, что одна и та же диагностическая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D40E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D40E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7D40EA">
        <w:rPr>
          <w:rFonts w:ascii="Times New Roman" w:hAnsi="Times New Roman" w:cs="Times New Roman"/>
          <w:sz w:val="28"/>
          <w:szCs w:val="28"/>
        </w:rPr>
        <w:t xml:space="preserve"> может иметь различную физическую интерпретацию в зависимости от химической системы: в одном случае она отражает преимущественно анодную деградацию, в другом — катодную, в третьем — их совместный вклад.</w:t>
      </w:r>
    </w:p>
    <w:p w14:paraId="67159D09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C1141" w14:textId="081619E4" w:rsidR="007D40EA" w:rsidRPr="00903768" w:rsidRDefault="0090376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3768">
        <w:rPr>
          <w:rFonts w:ascii="Times New Roman" w:hAnsi="Times New Roman" w:cs="Times New Roman"/>
          <w:b/>
          <w:bCs/>
          <w:sz w:val="28"/>
          <w:szCs w:val="28"/>
        </w:rPr>
        <w:t>1.2.4 Деградация натрий-ионных аккумуляторов</w:t>
      </w:r>
    </w:p>
    <w:p w14:paraId="1C8DEA4A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2667F" w14:textId="310AEDCB" w:rsidR="0090376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 xml:space="preserve">Натрий-ионные аккумуляторы в последние годы активно рассматриваются как альтернатива литий-ионным системам, особенно в приложениях, где критичны стоимость, сырьевая доступность и независимость от лития. Однако </w:t>
      </w:r>
      <w:r w:rsidRPr="008B2348">
        <w:rPr>
          <w:rFonts w:ascii="Times New Roman" w:hAnsi="Times New Roman" w:cs="Times New Roman"/>
          <w:sz w:val="28"/>
          <w:szCs w:val="28"/>
        </w:rPr>
        <w:lastRenderedPageBreak/>
        <w:t>современные исследования показывают, что натрий-ионные системы в целом характеризуются более медленной кинетикой поляризационных процессов и, как следствие, более выраженными импедансными полукругами, что прямо связано с меньшей подвижностью ионов натрия и более медленным межфазным транспортом.</w:t>
      </w:r>
    </w:p>
    <w:p w14:paraId="1759A9FB" w14:textId="543B06F2" w:rsidR="008B234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Физическая причина такого поведения заключается в большем ионном радиусе Na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2348">
        <w:rPr>
          <w:rFonts w:ascii="Times New Roman" w:hAnsi="Times New Roman" w:cs="Times New Roman"/>
          <w:sz w:val="28"/>
          <w:szCs w:val="28"/>
        </w:rPr>
        <w:t>по сравнению с Li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 w:rsidRPr="008B2348">
        <w:rPr>
          <w:rFonts w:ascii="Times New Roman" w:hAnsi="Times New Roman" w:cs="Times New Roman"/>
          <w:sz w:val="28"/>
          <w:szCs w:val="28"/>
        </w:rPr>
        <w:t>, что повышает энергетический барьер интеркаляции и усиливает чувствительность к геометрии каналов диффузии и к качеству межфазного контакта. В результате у Na</w:t>
      </w:r>
      <w:r w:rsidR="00D4400F">
        <w:rPr>
          <w:rFonts w:ascii="Times New Roman" w:hAnsi="Times New Roman" w:cs="Times New Roman"/>
          <w:sz w:val="28"/>
          <w:szCs w:val="28"/>
        </w:rPr>
        <w:t>-</w:t>
      </w:r>
      <w:r w:rsidRPr="008B2348">
        <w:rPr>
          <w:rFonts w:ascii="Times New Roman" w:hAnsi="Times New Roman" w:cs="Times New Roman"/>
          <w:sz w:val="28"/>
          <w:szCs w:val="28"/>
        </w:rPr>
        <w:t xml:space="preserve">ion аккумуляторов чаще наблюдаются более высокие значения как омической, так и зарядопереносной составляющей импеданса. Современные обзоры механизмов деградации </w:t>
      </w:r>
      <w:r w:rsidRPr="00D4400F">
        <w:rPr>
          <w:rFonts w:ascii="Times New Roman" w:hAnsi="Times New Roman" w:cs="Times New Roman"/>
          <w:sz w:val="28"/>
          <w:szCs w:val="28"/>
          <w:highlight w:val="yellow"/>
        </w:rPr>
        <w:t>SIB</w:t>
      </w:r>
      <w:r w:rsidRPr="008B2348">
        <w:rPr>
          <w:rFonts w:ascii="Times New Roman" w:hAnsi="Times New Roman" w:cs="Times New Roman"/>
          <w:sz w:val="28"/>
          <w:szCs w:val="28"/>
        </w:rPr>
        <w:t xml:space="preserve"> подчёркивают также важную роль нестабильности межфазного слоя, структурных превращений катодов и неоднородностей производства коммерческих элементов.</w:t>
      </w:r>
    </w:p>
    <w:p w14:paraId="5A352AC9" w14:textId="41B20294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018">
        <w:rPr>
          <w:rFonts w:ascii="Times New Roman" w:hAnsi="Times New Roman" w:cs="Times New Roman"/>
          <w:sz w:val="28"/>
          <w:szCs w:val="28"/>
        </w:rPr>
        <w:t>В инженерном представлении деградацию натрий-ионной системы можно записать как</w:t>
      </w:r>
    </w:p>
    <w:p w14:paraId="133C25A3" w14:textId="77777777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C238E0" w14:textId="0CCB4446" w:rsidR="00EE6018" w:rsidRPr="00445407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45407">
        <w:rPr>
          <w:rFonts w:ascii="Times New Roman" w:hAnsi="Times New Roman" w:cs="Times New Roman"/>
          <w:position w:val="-12"/>
          <w:sz w:val="28"/>
          <w:szCs w:val="28"/>
        </w:rPr>
        <w:object w:dxaOrig="3420" w:dyaOrig="400" w14:anchorId="387CB7D6">
          <v:shape id="_x0000_i1040" type="#_x0000_t75" style="width:171.05pt;height:20.75pt" o:ole="">
            <v:imagedata r:id="rId43" o:title=""/>
          </v:shape>
          <o:OLEObject Type="Embed" ProgID="Equation.DSMT4" ShapeID="_x0000_i1040" DrawAspect="Content" ObjectID="_1841744465" r:id="rId44"/>
        </w:object>
      </w:r>
    </w:p>
    <w:p w14:paraId="08F83134" w14:textId="77777777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B3057C" w14:textId="3A150B98" w:rsidR="00445407" w:rsidRPr="00A07748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445407">
        <w:rPr>
          <w:rFonts w:ascii="Times New Roman" w:hAnsi="Times New Roman" w:cs="Times New Roman"/>
          <w:sz w:val="28"/>
          <w:szCs w:val="28"/>
        </w:rPr>
        <w:t>последнее слагаемое отражает вклад структурных перестроек и объёмных деформаций.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В отличие от LTO, где деградация распределена более мягко, и от LFP, где ведущую роль может долго играть потеря циклируемого лития, у Na-ion систем часто раньше и сильнее проявляется именно рост поляризационных потерь.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Поэтому в EIS-постановке такие системы особенно показательны для анализа связки «рост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4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45407">
        <w:rPr>
          <w:rFonts w:ascii="Times New Roman" w:hAnsi="Times New Roman" w:cs="Times New Roman"/>
          <w:sz w:val="28"/>
          <w:szCs w:val="28"/>
        </w:rPr>
        <w:t xml:space="preserve"> рост общего импеданса — снижение мощности».</w:t>
      </w:r>
    </w:p>
    <w:p w14:paraId="6FB4CF5A" w14:textId="10E714AE" w:rsidR="00445407" w:rsidRPr="00A07748" w:rsidRDefault="00204A1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4A17">
        <w:rPr>
          <w:rFonts w:ascii="Times New Roman" w:hAnsi="Times New Roman" w:cs="Times New Roman"/>
          <w:sz w:val="28"/>
          <w:szCs w:val="28"/>
        </w:rPr>
        <w:lastRenderedPageBreak/>
        <w:t>Для диссертационной логики введение Na-ion систем важно ещё и потому, что они позволяют проверить универсальность диагностико</w:t>
      </w:r>
      <w:r w:rsidR="00443C43" w:rsidRPr="00443C43">
        <w:rPr>
          <w:rFonts w:ascii="Times New Roman" w:hAnsi="Times New Roman" w:cs="Times New Roman"/>
          <w:sz w:val="28"/>
          <w:szCs w:val="28"/>
        </w:rPr>
        <w:t>-</w:t>
      </w:r>
      <w:r w:rsidRPr="00204A17">
        <w:rPr>
          <w:rFonts w:ascii="Times New Roman" w:hAnsi="Times New Roman" w:cs="Times New Roman"/>
          <w:sz w:val="28"/>
          <w:szCs w:val="28"/>
        </w:rPr>
        <w:t>прогностического аппарата на химии, существенно отличающейся от классических литиевых батарей. Если модель, построенная на параметрах комплексного импеданса, сохраняет прогностическую состоятельность и для Na-ion, это резко усиливает её обобщающую ценность.</w:t>
      </w:r>
    </w:p>
    <w:p w14:paraId="07A27348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7243BB" w14:textId="59FBC81D" w:rsidR="00443C43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43"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43C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Доминирующие </w:t>
      </w:r>
      <w:r w:rsidRPr="00443C43">
        <w:rPr>
          <w:rFonts w:ascii="Times New Roman" w:hAnsi="Times New Roman" w:cs="Times New Roman"/>
          <w:sz w:val="28"/>
          <w:szCs w:val="28"/>
        </w:rPr>
        <w:t>механизмы старения исследуемых аккумуляторных систем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72"/>
        <w:gridCol w:w="2399"/>
        <w:gridCol w:w="2396"/>
        <w:gridCol w:w="2460"/>
      </w:tblGrid>
      <w:tr w:rsidR="00140008" w14:paraId="49A89F90" w14:textId="77777777" w:rsidTr="00140008">
        <w:tc>
          <w:tcPr>
            <w:tcW w:w="2406" w:type="dxa"/>
          </w:tcPr>
          <w:p w14:paraId="05A6D033" w14:textId="079A7E19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Химическая система</w:t>
            </w:r>
          </w:p>
        </w:tc>
        <w:tc>
          <w:tcPr>
            <w:tcW w:w="2407" w:type="dxa"/>
          </w:tcPr>
          <w:p w14:paraId="6B8DD7D1" w14:textId="148CC97D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Доминирующие механизмы деградации</w:t>
            </w:r>
          </w:p>
        </w:tc>
        <w:tc>
          <w:tcPr>
            <w:tcW w:w="2407" w:type="dxa"/>
          </w:tcPr>
          <w:p w14:paraId="3B9D5BF8" w14:textId="4E3EA763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чувствительные импедансные признаки</w:t>
            </w:r>
          </w:p>
        </w:tc>
        <w:tc>
          <w:tcPr>
            <w:tcW w:w="2407" w:type="dxa"/>
          </w:tcPr>
          <w:p w14:paraId="1EDE1A6E" w14:textId="304CDBC0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уязвимый эксплуатационный фактор</w:t>
            </w:r>
          </w:p>
        </w:tc>
      </w:tr>
      <w:tr w:rsidR="00140008" w14:paraId="7D2B2107" w14:textId="77777777" w:rsidTr="00140008">
        <w:tc>
          <w:tcPr>
            <w:tcW w:w="2406" w:type="dxa"/>
          </w:tcPr>
          <w:p w14:paraId="64FE3A97" w14:textId="6751F74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NMC</w:t>
            </w:r>
          </w:p>
        </w:tc>
        <w:tc>
          <w:tcPr>
            <w:tcW w:w="2407" w:type="dxa"/>
          </w:tcPr>
          <w:p w14:paraId="081AA68C" w14:textId="711EFCA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рост межфазных сопротивлений, микротрещины катода, растворение переходных металлов, потеря активного лития</w:t>
            </w:r>
          </w:p>
        </w:tc>
        <w:tc>
          <w:tcPr>
            <w:tcW w:w="2407" w:type="dxa"/>
          </w:tcPr>
          <w:p w14:paraId="01740DB9" w14:textId="485E5703" w:rsidR="00140008" w:rsidRDefault="0048460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быстрый рост </w:t>
            </w:r>
            <w:r w:rsidRPr="0048460B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, расширение полукруга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графика 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>Найквиста, усиление низкочастотного хвоста</w:t>
            </w:r>
          </w:p>
        </w:tc>
        <w:tc>
          <w:tcPr>
            <w:tcW w:w="2407" w:type="dxa"/>
          </w:tcPr>
          <w:p w14:paraId="5C3F22E9" w14:textId="29AD4642" w:rsidR="00140008" w:rsidRDefault="00E2245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22459">
              <w:rPr>
                <w:rFonts w:ascii="Times New Roman" w:hAnsi="Times New Roman" w:cs="Times New Roman"/>
                <w:sz w:val="28"/>
                <w:szCs w:val="28"/>
              </w:rPr>
              <w:t>высокий SOC, высокая температура, высокое верхнее напряжение</w:t>
            </w:r>
          </w:p>
        </w:tc>
      </w:tr>
      <w:tr w:rsidR="00140008" w14:paraId="223A922C" w14:textId="77777777" w:rsidTr="00140008">
        <w:tc>
          <w:tcPr>
            <w:tcW w:w="2406" w:type="dxa"/>
          </w:tcPr>
          <w:p w14:paraId="7A9F13C8" w14:textId="6C26E457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LFP</w:t>
            </w:r>
          </w:p>
        </w:tc>
        <w:tc>
          <w:tcPr>
            <w:tcW w:w="2407" w:type="dxa"/>
          </w:tcPr>
          <w:p w14:paraId="43C6E4CE" w14:textId="191BA1E4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 xml:space="preserve">потеря циклируемого лития, снижение активной площади, рост межфазного сопротивления анода, </w:t>
            </w:r>
            <w:r w:rsidRPr="003C4AE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диффузионные ограничения</w:t>
            </w:r>
          </w:p>
        </w:tc>
        <w:tc>
          <w:tcPr>
            <w:tcW w:w="2407" w:type="dxa"/>
          </w:tcPr>
          <w:p w14:paraId="40448422" w14:textId="5B4915F9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умеренный рост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выраженная диффузионная область</w:t>
            </w:r>
          </w:p>
        </w:tc>
        <w:tc>
          <w:tcPr>
            <w:tcW w:w="2407" w:type="dxa"/>
          </w:tcPr>
          <w:p w14:paraId="1F8DE944" w14:textId="02479D38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низкие температуры, длительное хранение при высоком SOC, высокий ток</w:t>
            </w:r>
          </w:p>
        </w:tc>
      </w:tr>
      <w:tr w:rsidR="00140008" w14:paraId="657E195D" w14:textId="77777777" w:rsidTr="00140008">
        <w:tc>
          <w:tcPr>
            <w:tcW w:w="2406" w:type="dxa"/>
          </w:tcPr>
          <w:p w14:paraId="3C066BDD" w14:textId="4DB39087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LTO</w:t>
            </w:r>
          </w:p>
        </w:tc>
        <w:tc>
          <w:tcPr>
            <w:tcW w:w="2407" w:type="dxa"/>
          </w:tcPr>
          <w:p w14:paraId="5D64DADE" w14:textId="5E4C0DAD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межфазное сопротивление, газообразование, катодная деградация, температурно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ускоренное старение</w:t>
            </w:r>
          </w:p>
        </w:tc>
        <w:tc>
          <w:tcPr>
            <w:tcW w:w="2407" w:type="dxa"/>
          </w:tcPr>
          <w:p w14:paraId="012D71D6" w14:textId="220A40BC" w:rsidR="00140008" w:rsidRDefault="002D579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D5799">
              <w:rPr>
                <w:rFonts w:ascii="Times New Roman" w:hAnsi="Times New Roman" w:cs="Times New Roman"/>
                <w:sz w:val="28"/>
                <w:szCs w:val="28"/>
              </w:rPr>
              <w:t xml:space="preserve">медленный рост </w:t>
            </w:r>
            <w:r w:rsidRPr="002D579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r w:rsidRPr="002D5799">
              <w:rPr>
                <w:rFonts w:ascii="Times New Roman" w:hAnsi="Times New Roman" w:cs="Times New Roman"/>
                <w:sz w:val="28"/>
                <w:szCs w:val="28"/>
              </w:rPr>
              <w:t>, слабый рост общего импеданса на ранней стадии</w:t>
            </w:r>
          </w:p>
        </w:tc>
        <w:tc>
          <w:tcPr>
            <w:tcW w:w="2407" w:type="dxa"/>
          </w:tcPr>
          <w:p w14:paraId="4774C388" w14:textId="0405A1D0" w:rsidR="00140008" w:rsidRPr="0056443E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высокие температуры, неблагоприятное SOC-окно, экстремальный power cycling</w:t>
            </w:r>
          </w:p>
        </w:tc>
      </w:tr>
      <w:tr w:rsidR="00140008" w14:paraId="225EA8F9" w14:textId="77777777" w:rsidTr="00140008">
        <w:tc>
          <w:tcPr>
            <w:tcW w:w="2406" w:type="dxa"/>
          </w:tcPr>
          <w:p w14:paraId="319FEBBD" w14:textId="15EEFBAF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Na-ion</w:t>
            </w:r>
          </w:p>
        </w:tc>
        <w:tc>
          <w:tcPr>
            <w:tcW w:w="2407" w:type="dxa"/>
          </w:tcPr>
          <w:p w14:paraId="5F237B2A" w14:textId="4AE9EE06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нестабильность интерфейса, структурные превращения катода, замедленный транспорт Na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+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рост поляризации</w:t>
            </w:r>
          </w:p>
        </w:tc>
        <w:tc>
          <w:tcPr>
            <w:tcW w:w="2407" w:type="dxa"/>
          </w:tcPr>
          <w:p w14:paraId="6F38DB5D" w14:textId="27E5F309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высокий начальный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2B43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крупные полукруги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сильный рост импеданса при старении</w:t>
            </w:r>
          </w:p>
        </w:tc>
        <w:tc>
          <w:tcPr>
            <w:tcW w:w="2407" w:type="dxa"/>
          </w:tcPr>
          <w:p w14:paraId="73446835" w14:textId="0CD19718" w:rsidR="00140008" w:rsidRDefault="007154B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54BD">
              <w:rPr>
                <w:rFonts w:ascii="Times New Roman" w:hAnsi="Times New Roman" w:cs="Times New Roman"/>
                <w:sz w:val="28"/>
                <w:szCs w:val="28"/>
              </w:rPr>
              <w:t>температурные возмущения, высокие токи, неоднородность материала</w:t>
            </w:r>
          </w:p>
        </w:tc>
      </w:tr>
    </w:tbl>
    <w:p w14:paraId="42AD9D8D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073C1C" w14:textId="75CA3FA3" w:rsidR="00283988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Таблица фиксирует, что одинаковая наблюдаемая макровеличина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>например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 xml:space="preserve">может иметь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различную причинную природу</w:t>
      </w:r>
      <w:r w:rsidRPr="00216404">
        <w:rPr>
          <w:rFonts w:ascii="Times New Roman" w:hAnsi="Times New Roman" w:cs="Times New Roman"/>
          <w:sz w:val="28"/>
          <w:szCs w:val="28"/>
        </w:rPr>
        <w:t>. Следовательно, в дальнейших разделах диссертации параметрическая идентификация должна сопровождаться химически-специфичной интерпретацией спектра.</w:t>
      </w:r>
    </w:p>
    <w:p w14:paraId="525494A6" w14:textId="51A69974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Механистические различия между химическими системами удобно представить не только в словесной, но и в сравнительно аналитической форме.</w:t>
      </w:r>
    </w:p>
    <w:p w14:paraId="1CAD35ED" w14:textId="1D94E8D5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  <w:r w:rsidRPr="00216404">
        <w:rPr>
          <w:rFonts w:ascii="Times New Roman" w:hAnsi="Times New Roman" w:cs="Times New Roman"/>
          <w:sz w:val="28"/>
          <w:szCs w:val="28"/>
        </w:rPr>
        <w:t xml:space="preserve"> показывают, что каждая химическая система обладает собственным профилем доминирующих деградационных механизмов. Это означает, что универсальная диагностика возможна только при сохранении </w:t>
      </w:r>
      <w:r w:rsidRPr="00216404">
        <w:rPr>
          <w:rFonts w:ascii="Times New Roman" w:hAnsi="Times New Roman" w:cs="Times New Roman"/>
          <w:sz w:val="28"/>
          <w:szCs w:val="28"/>
        </w:rPr>
        <w:lastRenderedPageBreak/>
        <w:t>единого математического ядра и одновременном введении химически-специфичных коэффициентов интерпретации.</w:t>
      </w:r>
    </w:p>
    <w:p w14:paraId="3CF7DE4B" w14:textId="69670347" w:rsidR="00216404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7E798C6" wp14:editId="3197B26A">
            <wp:extent cx="6119495" cy="3190240"/>
            <wp:effectExtent l="0" t="0" r="0" b="0"/>
            <wp:docPr id="1679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6DABD" w14:textId="0A8B821D" w:rsidR="00D400C8" w:rsidRDefault="00824D2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4D26">
        <w:rPr>
          <w:rFonts w:ascii="Times New Roman" w:hAnsi="Times New Roman" w:cs="Times New Roman"/>
          <w:sz w:val="28"/>
          <w:szCs w:val="28"/>
        </w:rPr>
        <w:t xml:space="preserve">Рисунок 1.4 — Доминирующие механизмы деградации по результатам </w:t>
      </w:r>
      <w:r w:rsidRPr="00824D26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</w:p>
    <w:p w14:paraId="63D9B23D" w14:textId="77777777" w:rsidR="00D400C8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BFF949" w14:textId="38FB3BBE" w:rsidR="00824D26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На рисунке представлена сравнительная карта основных механизмов старения для NMC, LFP, LTO и Na-ion систем. Числовые индексы отражают относительный вклад межфазного роста, потери циклируемого лития или натрия, структурной деградации, роста зарядопереносного сопротивления и диффузионных ограничений в суммарную деградационную картину исследуемых батарей.</w:t>
      </w:r>
    </w:p>
    <w:p w14:paraId="187963D2" w14:textId="61DD8DBD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Из рисунка следует, что для NMC наиболее существенны структурная деградация и рост межфазных сопротивлений, для LFP — зарядопереносная и диффузионная составляющие, для LTO вклад механизмов распределён более мягко и равномерно, а для Na-ion наиболее резко проявляются зарядопереносные и диффузионные ограничения. Такая картина согласуется с современными обзорами по соответствующим химическим системам.</w:t>
      </w:r>
    </w:p>
    <w:p w14:paraId="3313B55E" w14:textId="1BDF451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состоит в том, что он переводит механизм старения из качественного описания в сравнительную матрицу, пригодную для дальнейшей математической параметризации. Практическая ценность состоит в возможности заранее определить, какой набор импедансных признаков должен быть приоритетным для конкретной химической системы: для NMC — ранний мониторинг </w:t>
      </w:r>
      <w:r w:rsidRPr="00BB724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B724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7242">
        <w:rPr>
          <w:rFonts w:ascii="Times New Roman" w:hAnsi="Times New Roman" w:cs="Times New Roman"/>
          <w:sz w:val="28"/>
          <w:szCs w:val="28"/>
        </w:rPr>
        <w:t>структурно-индуцированной поляризации, для LFP — диффузионных изменений, для LTO — долгосрочного дрейфа межфазных параметров, для Na-ion — совокупной поляризационной динамики.</w:t>
      </w:r>
    </w:p>
    <w:p w14:paraId="72BE98C9" w14:textId="5253DB4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Следующее фундаментальное различие между системами проявляется в скорости потери ёмкости при циклическом старении.</w:t>
      </w:r>
    </w:p>
    <w:p w14:paraId="5D8B08D4" w14:textId="0FF79037" w:rsidR="00BB7242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725">
        <w:rPr>
          <w:rFonts w:ascii="Times New Roman" w:hAnsi="Times New Roman" w:cs="Times New Roman"/>
          <w:sz w:val="28"/>
          <w:szCs w:val="28"/>
        </w:rPr>
        <w:t>Кривые деградации относительной ёмкости, полученные в опытной серии циклических испытаний, позволяют проследить различие не только в общем ресурсе батарей, но и в форме деградационной траектории. Именно форма траектории, а не только точка достижения 80% ёмкости, играет решающую роль при построении прогностической модели.</w:t>
      </w:r>
    </w:p>
    <w:p w14:paraId="0842A7E6" w14:textId="77777777" w:rsidR="003A7725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04C4A6" w14:textId="1EEF3B4F" w:rsidR="003A7725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1FE863" wp14:editId="078E888B">
            <wp:extent cx="6119495" cy="3638550"/>
            <wp:effectExtent l="0" t="0" r="0" b="0"/>
            <wp:docPr id="10308119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6C64B" w14:textId="70751801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53A">
        <w:rPr>
          <w:rFonts w:ascii="Times New Roman" w:hAnsi="Times New Roman" w:cs="Times New Roman"/>
          <w:sz w:val="28"/>
          <w:szCs w:val="28"/>
        </w:rPr>
        <w:lastRenderedPageBreak/>
        <w:t>Рисунок 1.5 — Деградация относительной ёмкости в опытной серии циклических испытаний</w:t>
      </w:r>
    </w:p>
    <w:p w14:paraId="4882A8B6" w14:textId="77777777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E83D90" w14:textId="2C2C1886" w:rsidR="0000453A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На рисунке представлены зависимости C/C</w:t>
      </w:r>
      <w:r w:rsidRPr="00795D96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795D96">
        <w:rPr>
          <w:rFonts w:ascii="Times New Roman" w:hAnsi="Times New Roman" w:cs="Times New Roman"/>
          <w:sz w:val="28"/>
          <w:szCs w:val="28"/>
        </w:rPr>
        <w:t xml:space="preserve"> от числа циклов для NMC, LFP, LTO и Na-ion батарей. Горизонтальная линия соответствует принятому пороговому критерию конца ресурса по ёмкости, равному 80% от исходного значения. Кривая NMC демонстрирует наиболее ранний переход к ускоренному снижению ёмкости; LFP убывает медленнее и более плавно; LTO сохраняет наивысшую стабильность во всём диапазоне циклирования; Na-ion занимает промежуточное положение, однако характеризуется более выраженным ускорением деградации на поздних стадиях</w:t>
      </w:r>
    </w:p>
    <w:p w14:paraId="7BC544E0" w14:textId="4931796C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подчёркивает различие деградационных законов для разных химических систем. Для NMC и Na-ion существенно выражена нелинейная ускоряющаяся стадия старения, тогда как для LFP и особенно LTO траектория дольше сохраняет квазилинейный характер. Это означает, что прогностическая модель </w:t>
      </w:r>
      <w:r w:rsidRPr="00795D96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795D96">
        <w:rPr>
          <w:rFonts w:ascii="Times New Roman" w:hAnsi="Times New Roman" w:cs="Times New Roman"/>
          <w:sz w:val="28"/>
          <w:szCs w:val="28"/>
        </w:rPr>
        <w:t xml:space="preserve"> линейной аппроксимации для всех химий.</w:t>
      </w:r>
    </w:p>
    <w:p w14:paraId="0BAE5317" w14:textId="50AE28A0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заключается в возможности формирования химически-адаптивных эксплуатационных регламентов. Для NMC важен более ранний переход к режимам щадящей эксплуатации при росте импеданса, для LFP — контроль длительного </w:t>
      </w:r>
      <w:r w:rsidRPr="00795D9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Pr="00795D96">
        <w:rPr>
          <w:rFonts w:ascii="Times New Roman" w:hAnsi="Times New Roman" w:cs="Times New Roman"/>
          <w:sz w:val="28"/>
          <w:szCs w:val="28"/>
        </w:rPr>
        <w:t>, для LTO — мониторинг сверхдолгосрочного ресурса, для Na-ion — предупреждение ускоренной поляризационной деградации.</w:t>
      </w:r>
    </w:p>
    <w:p w14:paraId="38F6DB1F" w14:textId="5B1DB699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Однако с точки зрения импедансной диагностики ещё более показательным параметром является не сама ёмкость, а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689CC5" w14:textId="2187D9CE" w:rsidR="00574A9B" w:rsidRDefault="00574A9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A9B">
        <w:rPr>
          <w:rFonts w:ascii="Times New Roman" w:hAnsi="Times New Roman" w:cs="Times New Roman"/>
          <w:sz w:val="28"/>
          <w:szCs w:val="28"/>
        </w:rPr>
        <w:t xml:space="preserve">Даже в тех случаях, когда потеря ёмкости остаётся умеренной, сопротивление переноса заряда может возрастать существенно быстрее. Это </w:t>
      </w:r>
      <w:r w:rsidRPr="00574A9B">
        <w:rPr>
          <w:rFonts w:ascii="Times New Roman" w:hAnsi="Times New Roman" w:cs="Times New Roman"/>
          <w:sz w:val="28"/>
          <w:szCs w:val="28"/>
        </w:rPr>
        <w:lastRenderedPageBreak/>
        <w:t xml:space="preserve">особенно важно для тягового применения, поскольку именно </w:t>
      </w:r>
      <w:r w:rsidRPr="00574A9B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74A9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74A9B">
        <w:rPr>
          <w:rFonts w:ascii="Times New Roman" w:hAnsi="Times New Roman" w:cs="Times New Roman"/>
          <w:sz w:val="28"/>
          <w:szCs w:val="28"/>
        </w:rPr>
        <w:t xml:space="preserve"> потерями и точностью прогноза остаточного ресурса.</w:t>
      </w:r>
    </w:p>
    <w:p w14:paraId="23DED1A8" w14:textId="77777777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367C54" w14:textId="49A83929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7CA056E" wp14:editId="05861BDC">
            <wp:extent cx="6119495" cy="3638550"/>
            <wp:effectExtent l="0" t="0" r="0" b="0"/>
            <wp:docPr id="12237564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A3CA" w14:textId="09AE5B3A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4021">
        <w:rPr>
          <w:rFonts w:ascii="Times New Roman" w:hAnsi="Times New Roman" w:cs="Times New Roman"/>
          <w:sz w:val="28"/>
          <w:szCs w:val="28"/>
        </w:rPr>
        <w:t>Рисунок 1.6 — Рост сопротивления переноса заряда в процессе старения</w:t>
      </w:r>
    </w:p>
    <w:p w14:paraId="2C5B7C38" w14:textId="7EEA0AC6" w:rsidR="002A4021" w:rsidRPr="00A07748" w:rsidRDefault="00026C0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C0E">
        <w:rPr>
          <w:rFonts w:ascii="Times New Roman" w:hAnsi="Times New Roman" w:cs="Times New Roman"/>
          <w:sz w:val="28"/>
          <w:szCs w:val="28"/>
        </w:rPr>
        <w:t xml:space="preserve">На рисунке представлены экспериментальные зависимости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26C0E">
        <w:rPr>
          <w:rFonts w:ascii="Times New Roman" w:hAnsi="Times New Roman" w:cs="Times New Roman"/>
          <w:sz w:val="28"/>
          <w:szCs w:val="28"/>
        </w:rPr>
        <w:t xml:space="preserve"> для NMC, LFP, LTO и Na-ion батарей. Видно, что Na-ion элементы уже на начальной стадии имеют наибольшие значения 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26C0E">
        <w:rPr>
          <w:rFonts w:ascii="Times New Roman" w:hAnsi="Times New Roman" w:cs="Times New Roman"/>
          <w:sz w:val="28"/>
          <w:szCs w:val="28"/>
        </w:rPr>
        <w:t>а затем демонстрируют наиболее резкий рост.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NMC характеризуется умеренным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начальным значением, но заметным ускорением старения после 2000 циклов.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LFP показывает более плавный рост, а LTO — наиболее медленный дрейф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sz w:val="28"/>
          <w:szCs w:val="28"/>
        </w:rPr>
        <w:t xml:space="preserve"> во всём исследованном диапазоне.</w:t>
      </w:r>
    </w:p>
    <w:p w14:paraId="33D10504" w14:textId="2F86B410" w:rsidR="00026C0E" w:rsidRDefault="001B30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02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прямом подтверждении того, что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B30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1B3024">
        <w:rPr>
          <w:rFonts w:ascii="Times New Roman" w:hAnsi="Times New Roman" w:cs="Times New Roman"/>
          <w:sz w:val="28"/>
          <w:szCs w:val="28"/>
        </w:rPr>
        <w:t xml:space="preserve"> является химически универсальным, но количественно различным индикатором деградации. Это делает его естественным кандидатом на роль базовой диагностической переменной в будущей модел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EB5BB7" w:rsidRPr="00EB5BB7">
        <w:rPr>
          <w:rFonts w:ascii="Times New Roman" w:hAnsi="Times New Roman" w:cs="Times New Roman"/>
          <w:sz w:val="28"/>
          <w:szCs w:val="28"/>
        </w:rPr>
        <w:t xml:space="preserve">Практическая ценность рисунка состоит в том, что он позволяет заранее оценивать потерю </w:t>
      </w:r>
      <w:r w:rsidR="00EB5BB7" w:rsidRPr="00EB5BB7">
        <w:rPr>
          <w:rFonts w:ascii="Times New Roman" w:hAnsi="Times New Roman" w:cs="Times New Roman"/>
          <w:sz w:val="28"/>
          <w:szCs w:val="28"/>
        </w:rPr>
        <w:lastRenderedPageBreak/>
        <w:t>доступной мощности батарейного модуля ещё до достижения формального порога конца ресурса по ёмкости.</w:t>
      </w:r>
    </w:p>
    <w:p w14:paraId="3F8F136C" w14:textId="6D335DAA" w:rsidR="00EB5BB7" w:rsidRDefault="00EB5BB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BB7">
        <w:rPr>
          <w:rFonts w:ascii="Times New Roman" w:hAnsi="Times New Roman" w:cs="Times New Roman"/>
          <w:sz w:val="28"/>
          <w:szCs w:val="28"/>
        </w:rPr>
        <w:t>Наконец, для всех рассматриваемых химий существенным остаётся температурный фактор.</w:t>
      </w:r>
    </w:p>
    <w:p w14:paraId="23454843" w14:textId="067FD7EA" w:rsidR="00EB5BB7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87A">
        <w:rPr>
          <w:rFonts w:ascii="Times New Roman" w:hAnsi="Times New Roman" w:cs="Times New Roman"/>
          <w:sz w:val="28"/>
          <w:szCs w:val="28"/>
          <w:highlight w:val="yellow"/>
        </w:rPr>
        <w:t>Термочувствительность</w:t>
      </w:r>
      <w:r w:rsidRPr="00E5587A">
        <w:rPr>
          <w:rFonts w:ascii="Times New Roman" w:hAnsi="Times New Roman" w:cs="Times New Roman"/>
          <w:sz w:val="28"/>
          <w:szCs w:val="28"/>
        </w:rPr>
        <w:t xml:space="preserve"> деградации определяет необходимость включения температурной переменной в любую ресурсную модель. Результаты термоциклической серии показывают, что ускорение старения имеет выраженный экспоненциальный характер, но коэффициенты температурного ускорения зависят от типа батареи</w:t>
      </w:r>
    </w:p>
    <w:p w14:paraId="2D3F4F66" w14:textId="77777777" w:rsidR="00E5587A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D72DAB" w14:textId="3202FE94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28A387" wp14:editId="7BB8E1AF">
            <wp:extent cx="6119495" cy="3638550"/>
            <wp:effectExtent l="0" t="0" r="0" b="0"/>
            <wp:docPr id="8023394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7EDB" w14:textId="39CF017F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6DD">
        <w:rPr>
          <w:rFonts w:ascii="Times New Roman" w:hAnsi="Times New Roman" w:cs="Times New Roman"/>
          <w:sz w:val="28"/>
          <w:szCs w:val="28"/>
        </w:rPr>
        <w:t>Рисунок 1.7 — Температурное ускорение деградации по результатам термоциклических испытаний</w:t>
      </w:r>
    </w:p>
    <w:p w14:paraId="28F5DD09" w14:textId="77777777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B11DC" w14:textId="0F196002" w:rsidR="007846DD" w:rsidRDefault="00956A4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A45">
        <w:rPr>
          <w:rFonts w:ascii="Times New Roman" w:hAnsi="Times New Roman" w:cs="Times New Roman"/>
          <w:sz w:val="28"/>
          <w:szCs w:val="28"/>
        </w:rPr>
        <w:t xml:space="preserve">На рисунке приведены относительные коэффициенты ускорения деградации </w:t>
      </w:r>
      <w:r w:rsidRPr="00956A45">
        <w:rPr>
          <w:rFonts w:ascii="Times New Roman" w:hAnsi="Times New Roman" w:cs="Times New Roman"/>
          <w:i/>
          <w:iCs/>
          <w:sz w:val="28"/>
          <w:szCs w:val="28"/>
        </w:rPr>
        <w:t>k/k</w:t>
      </w:r>
      <w:r w:rsidRPr="00956A4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20</w:t>
      </w:r>
      <w:r w:rsidRPr="00956A45">
        <w:rPr>
          <w:rFonts w:ascii="Times New Roman" w:hAnsi="Times New Roman" w:cs="Times New Roman"/>
          <w:sz w:val="28"/>
          <w:szCs w:val="28"/>
        </w:rPr>
        <w:t xml:space="preserve"> для NMC, LFP, LTO и Na-ion систем при повышении температуры. Все кривые имеют нелинейный возрастающий характер, </w:t>
      </w:r>
      <w:r w:rsidRPr="00956A45">
        <w:rPr>
          <w:rFonts w:ascii="Times New Roman" w:hAnsi="Times New Roman" w:cs="Times New Roman"/>
          <w:sz w:val="28"/>
          <w:szCs w:val="28"/>
        </w:rPr>
        <w:lastRenderedPageBreak/>
        <w:t xml:space="preserve">согласующийся с </w:t>
      </w:r>
      <w:r w:rsidRPr="00956A45">
        <w:rPr>
          <w:rFonts w:ascii="Times New Roman" w:hAnsi="Times New Roman" w:cs="Times New Roman"/>
          <w:sz w:val="28"/>
          <w:szCs w:val="28"/>
          <w:highlight w:val="yellow"/>
        </w:rPr>
        <w:t>аррениусовской природой деградации</w:t>
      </w:r>
      <w:r w:rsidRPr="00956A45">
        <w:rPr>
          <w:rFonts w:ascii="Times New Roman" w:hAnsi="Times New Roman" w:cs="Times New Roman"/>
          <w:sz w:val="28"/>
          <w:szCs w:val="28"/>
        </w:rPr>
        <w:t>. Наиболее чувствительными оказываются NMC и Na-ion системы, тогда как LTO демонстрирует наименьшее относительное ускорение старения.</w:t>
      </w:r>
    </w:p>
    <w:p w14:paraId="51FE36F5" w14:textId="0C372371" w:rsidR="00956A45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подтверждении необходимости явного температурного параметра в модели деградации. Практическая польза состоит в возможности корректировки прогноза остаточного ресурса в зависимости от реального теплового режима эксплуатации, а также в выборе приоритетных мер теплового управления для конкретной химии.</w:t>
      </w:r>
    </w:p>
    <w:p w14:paraId="199B692F" w14:textId="0CA6ED1E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В итоге можно сделать следующий вывод. Деградация NMC, LFP, LTO и Na-ion батарей имеет общие физические основания — межфазные реакции, потерю активных носителей, рост внутренних сопротивлений и влияние температуры, но реализуется через различающиеся доминирующие механизмы и разные темпы накопления повреждений. Поэтому дальнейшая теория диагностики и прогнозирования должна строиться как унифицированная по математическому аппарату, но химически-адаптивная по параметрам интерпретации. Именно такой подход позволяет перейти от частных моделей отдельных батарей к общей системе оценки технического состояния и остаточного ресурса тяговых аккумуляторных батарей различных электрохимических систем.</w:t>
      </w:r>
    </w:p>
    <w:p w14:paraId="7FDD505E" w14:textId="77777777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B50C0" w14:textId="7DA3FAE2" w:rsidR="00234A24" w:rsidRPr="00A07748" w:rsidRDefault="00A077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07748">
        <w:rPr>
          <w:rFonts w:ascii="Times New Roman" w:hAnsi="Times New Roman" w:cs="Times New Roman"/>
          <w:b/>
          <w:bCs/>
          <w:sz w:val="28"/>
          <w:szCs w:val="28"/>
        </w:rPr>
        <w:t>1.3 Показатели технического состояния аккумуляторных батарей: SOC, SOH, SOF и RUL</w:t>
      </w:r>
    </w:p>
    <w:p w14:paraId="1D04881E" w14:textId="77777777" w:rsidR="00234A24" w:rsidRDefault="00234A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B710D" w14:textId="015F5DE3" w:rsidR="00A07748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 xml:space="preserve">Оценка технического состояния тяговой аккумуляторной батареи требует использования системы взаимосвязанных диагностических параметров, поскольку ни один отдельный показатель не способен одновременно описать запас энергии, степень деградации, доступную мощность и ожидаемый остаточный срок службы. В инженерной и научной практике для этих целей </w:t>
      </w:r>
      <w:r w:rsidRPr="00C2560F">
        <w:rPr>
          <w:rFonts w:ascii="Times New Roman" w:hAnsi="Times New Roman" w:cs="Times New Roman"/>
          <w:sz w:val="28"/>
          <w:szCs w:val="28"/>
        </w:rPr>
        <w:lastRenderedPageBreak/>
        <w:t xml:space="preserve">применяются четыре базовых индикатора: состояние заряда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SOC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 xml:space="preserve">состояние здоровья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, состояние мощности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C2560F">
        <w:rPr>
          <w:rFonts w:ascii="Times New Roman" w:hAnsi="Times New Roman" w:cs="Times New Roman"/>
          <w:sz w:val="28"/>
          <w:szCs w:val="28"/>
        </w:rPr>
        <w:t xml:space="preserve"> и остаточный ресурс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C2560F">
        <w:rPr>
          <w:rFonts w:ascii="Times New Roman" w:hAnsi="Times New Roman" w:cs="Times New Roman"/>
          <w:sz w:val="28"/>
          <w:szCs w:val="28"/>
        </w:rPr>
        <w:t>. В рамках настоящего исследования данные показатели рассматриваются не как независимые эмпирические величины, а как параметры единой диагностико-прогностической системы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>которая в дальнейшем связывается с характеристиками комплексного импеданса тяговой батареи.</w:t>
      </w:r>
    </w:p>
    <w:p w14:paraId="4B2F05EF" w14:textId="16B271E9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>Между указанными показателями существует естественная иерархия.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2560F">
        <w:rPr>
          <w:rFonts w:ascii="Times New Roman" w:hAnsi="Times New Roman" w:cs="Times New Roman"/>
          <w:sz w:val="28"/>
          <w:szCs w:val="28"/>
        </w:rPr>
        <w:t xml:space="preserve"> описывает текущее количество накопленного заряда и отражает краткосрочное состояние батареи.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 характеризует накопленную деградацию и определяет, насколько текущие свойства батареи отличаются от исходных. Параметр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отражает способность батареи обеспечить требуемую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мощность в текущем состоянии и тем самым связывает энергетическое и силовое состояние системы. Наконец, параметр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даёт прогностическую оценку числа циклов или времени до достижения предельного состояния. В логике диссертационной работы переход от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733DF">
        <w:rPr>
          <w:rFonts w:ascii="Times New Roman" w:hAnsi="Times New Roman" w:cs="Times New Roman"/>
          <w:sz w:val="28"/>
          <w:szCs w:val="28"/>
        </w:rPr>
        <w:t xml:space="preserve">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8733DF">
        <w:rPr>
          <w:rFonts w:ascii="Times New Roman" w:hAnsi="Times New Roman" w:cs="Times New Roman"/>
          <w:sz w:val="28"/>
          <w:szCs w:val="28"/>
        </w:rPr>
        <w:t xml:space="preserve">, затем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8733DF">
        <w:rPr>
          <w:rFonts w:ascii="Times New Roman" w:hAnsi="Times New Roman" w:cs="Times New Roman"/>
          <w:sz w:val="28"/>
          <w:szCs w:val="28"/>
        </w:rPr>
        <w:t xml:space="preserve"> и далее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представляет собой переход от мгновенного мониторинга к физически обоснованному прогнозу ресурса.</w:t>
      </w:r>
    </w:p>
    <w:p w14:paraId="6B563DC6" w14:textId="77777777" w:rsidR="008733DF" w:rsidRDefault="008733D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2D29E1" w14:textId="166D83DB" w:rsidR="008733DF" w:rsidRPr="00E02636" w:rsidRDefault="00E02636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636">
        <w:rPr>
          <w:rFonts w:ascii="Times New Roman" w:hAnsi="Times New Roman" w:cs="Times New Roman"/>
          <w:b/>
          <w:bCs/>
          <w:sz w:val="28"/>
          <w:szCs w:val="28"/>
        </w:rPr>
        <w:t>1.3.1 Состояние заряда батареи</w:t>
      </w:r>
    </w:p>
    <w:p w14:paraId="3BB9990C" w14:textId="77777777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E31A3" w14:textId="570B9180" w:rsidR="00E02636" w:rsidRPr="00764CBB" w:rsidRDefault="00B778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83E">
        <w:rPr>
          <w:rFonts w:ascii="Times New Roman" w:hAnsi="Times New Roman" w:cs="Times New Roman"/>
          <w:sz w:val="28"/>
          <w:szCs w:val="28"/>
        </w:rPr>
        <w:t>Состояние заряда SO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7783E">
        <w:rPr>
          <w:rFonts w:ascii="Times New Roman" w:hAnsi="Times New Roman" w:cs="Times New Roman"/>
          <w:sz w:val="28"/>
          <w:szCs w:val="28"/>
        </w:rPr>
        <w:t xml:space="preserve"> определяется как отношение текущего заряда батареи к её номинальной или доступной ёмкости:</w:t>
      </w:r>
    </w:p>
    <w:p w14:paraId="589BB0F8" w14:textId="77777777" w:rsidR="00C40F1C" w:rsidRPr="00764CBB" w:rsidRDefault="00C40F1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FD9DDB" w14:textId="5FD59492" w:rsidR="00C40F1C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DA0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6DB257FF">
          <v:shape id="_x0000_i1041" type="#_x0000_t75" style="width:107.15pt;height:34pt" o:ole="">
            <v:imagedata r:id="rId49" o:title=""/>
          </v:shape>
          <o:OLEObject Type="Embed" ProgID="Equation.DSMT4" ShapeID="_x0000_i1041" DrawAspect="Content" ObjectID="_1841744466" r:id="rId50"/>
        </w:object>
      </w:r>
    </w:p>
    <w:p w14:paraId="06F5E985" w14:textId="77777777" w:rsidR="00C40F1C" w:rsidRDefault="00C40F1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23D1FE" w14:textId="58AC9FE4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6DA0">
        <w:rPr>
          <w:rFonts w:ascii="Times New Roman" w:hAnsi="Times New Roman" w:cs="Times New Roman"/>
          <w:sz w:val="28"/>
          <w:szCs w:val="28"/>
        </w:rPr>
        <w:lastRenderedPageBreak/>
        <w:t>Если заряд оценивается через ток нагрузки, то из закона сохранения заряда следует выражение</w:t>
      </w:r>
    </w:p>
    <w:p w14:paraId="02B14E32" w14:textId="77777777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B0713C" w14:textId="64E8F752" w:rsidR="00C26DA0" w:rsidRDefault="007A32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32DC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3159" w:dyaOrig="680" w14:anchorId="63295281">
          <v:shape id="_x0000_i1042" type="#_x0000_t75" style="width:157.8pt;height:34pt" o:ole="">
            <v:imagedata r:id="rId51" o:title=""/>
          </v:shape>
          <o:OLEObject Type="Embed" ProgID="Equation.DSMT4" ShapeID="_x0000_i1042" DrawAspect="Content" ObjectID="_1841744467" r:id="rId52"/>
        </w:object>
      </w:r>
    </w:p>
    <w:p w14:paraId="42179665" w14:textId="77777777" w:rsidR="00C26DA0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6A1067" w14:textId="5BDE6A9F" w:rsidR="007A32DC" w:rsidRPr="00764CBB" w:rsidRDefault="003E7F8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F8F">
        <w:rPr>
          <w:rFonts w:ascii="Times New Roman" w:hAnsi="Times New Roman" w:cs="Times New Roman"/>
          <w:sz w:val="28"/>
          <w:szCs w:val="28"/>
        </w:rPr>
        <w:t>Происхождение данной формулы связано с интегральной формой уравнения непрерывности заряда. При отсутствии утечек и паразитических токов изменение количества заряда в батарее равно интегралу проходящего тока. Именно поэтому кулоновский счёт остаётся базовой процедурой BMS. Однако для тяговых батарей этот метод имеет два принципиальных ограничения.</w:t>
      </w:r>
    </w:p>
    <w:p w14:paraId="0F29DE87" w14:textId="6E89A137" w:rsidR="003E7F8F" w:rsidRPr="00764CBB" w:rsidRDefault="00D1756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56A">
        <w:rPr>
          <w:rFonts w:ascii="Times New Roman" w:hAnsi="Times New Roman" w:cs="Times New Roman"/>
          <w:sz w:val="28"/>
          <w:szCs w:val="28"/>
        </w:rPr>
        <w:t xml:space="preserve">Первое ограничение связано с погрешностью измерения тока. Даже малая систематическая ошибка датчика или нулевая дрейфовая составляющая приводит к интегральному накоплению ошибки. Второе ограничение является более фундаментальным: в формуле используется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175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1756A">
        <w:rPr>
          <w:rFonts w:ascii="Times New Roman" w:hAnsi="Times New Roman" w:cs="Times New Roman"/>
          <w:sz w:val="28"/>
          <w:szCs w:val="28"/>
        </w:rPr>
        <w:t>тогда как реальная доступная ёмкость деградирующей батареи уменьшается со временем.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Следовательно,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кулоновский счёт без адаптации к текущему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D1756A">
        <w:rPr>
          <w:rFonts w:ascii="Times New Roman" w:hAnsi="Times New Roman" w:cs="Times New Roman"/>
          <w:sz w:val="28"/>
          <w:szCs w:val="28"/>
        </w:rPr>
        <w:t xml:space="preserve"> неизбежно утрачивает точность при длительной эксплуатации. Именно поэтому в задачах прогноза ресурса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D1756A">
        <w:rPr>
          <w:rFonts w:ascii="Times New Roman" w:hAnsi="Times New Roman" w:cs="Times New Roman"/>
          <w:sz w:val="28"/>
          <w:szCs w:val="28"/>
        </w:rPr>
        <w:t xml:space="preserve"> следует рассматривать как необходимый, но недостаточный показатель.</w:t>
      </w:r>
    </w:p>
    <w:p w14:paraId="1F713733" w14:textId="22E61C44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Для тяговых аккумуляторных батарей характерно и то обстоятельство, что погрешность оценки </w:t>
      </w:r>
      <w:r w:rsidRPr="00E3731B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3731B">
        <w:rPr>
          <w:rFonts w:ascii="Times New Roman" w:hAnsi="Times New Roman" w:cs="Times New Roman"/>
          <w:sz w:val="28"/>
          <w:szCs w:val="28"/>
        </w:rPr>
        <w:t xml:space="preserve"> особенно заметна в режиме частичных циклов, частой рекуперации и изменяющихся токовых профилей. В этих условиях ошибка не только возрастает, но и теряет монотонный характер, поскольку реальные токовые траектории содержат чередование положительных и отрицательных участков различной длительности.</w:t>
      </w:r>
    </w:p>
    <w:p w14:paraId="69ADA5B6" w14:textId="45731FE7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В опытной серии нагрузочных испытаний была выполнена оценка состояния заряда батарейного модуля по методу кулоновского счёта и </w:t>
      </w:r>
      <w:r w:rsidRPr="00E3731B">
        <w:rPr>
          <w:rFonts w:ascii="Times New Roman" w:hAnsi="Times New Roman" w:cs="Times New Roman"/>
          <w:sz w:val="28"/>
          <w:szCs w:val="28"/>
        </w:rPr>
        <w:lastRenderedPageBreak/>
        <w:t>сопоставлена с эталонным значением, полученным по совмещённой токо-</w:t>
      </w:r>
      <w:r w:rsidRPr="00E3731B">
        <w:rPr>
          <w:rFonts w:ascii="Times New Roman" w:hAnsi="Times New Roman" w:cs="Times New Roman"/>
          <w:sz w:val="28"/>
          <w:szCs w:val="28"/>
          <w:highlight w:val="yellow"/>
        </w:rPr>
        <w:t>напряженческой процедуре</w:t>
      </w:r>
      <w:r w:rsidRPr="00E3731B">
        <w:rPr>
          <w:rFonts w:ascii="Times New Roman" w:hAnsi="Times New Roman" w:cs="Times New Roman"/>
          <w:sz w:val="28"/>
          <w:szCs w:val="28"/>
        </w:rPr>
        <w:t xml:space="preserve"> коррекции. Это позволило количественно продемонстрировать накопление ошибки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Pr="00074F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="00074F0F" w:rsidRPr="00074F0F">
        <w:rPr>
          <w:rFonts w:ascii="Times New Roman" w:hAnsi="Times New Roman" w:cs="Times New Roman"/>
          <w:sz w:val="28"/>
          <w:szCs w:val="28"/>
        </w:rPr>
        <w:t>в реальном нестационарном режиме.</w:t>
      </w:r>
    </w:p>
    <w:p w14:paraId="08A3F543" w14:textId="77777777" w:rsidR="00074F0F" w:rsidRPr="00764CBB" w:rsidRDefault="00074F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BFE218" w14:textId="01444B75" w:rsidR="00074F0F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DB5F583" wp14:editId="1D64130D">
            <wp:extent cx="6119495" cy="3522980"/>
            <wp:effectExtent l="0" t="0" r="0" b="1270"/>
            <wp:docPr id="335996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11A10" w14:textId="4863D0FB" w:rsidR="00486F2C" w:rsidRPr="00486F2C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6F2C">
        <w:rPr>
          <w:rFonts w:ascii="Times New Roman" w:hAnsi="Times New Roman" w:cs="Times New Roman"/>
          <w:sz w:val="28"/>
          <w:szCs w:val="28"/>
        </w:rPr>
        <w:t>Рисунок 1.8 — Накопление ошибки оценки состояния заряда при длительном движении</w:t>
      </w:r>
    </w:p>
    <w:p w14:paraId="4AE1065C" w14:textId="77777777" w:rsidR="00486F2C" w:rsidRPr="00764CBB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CD92B" w14:textId="45D0D3D1" w:rsidR="00486F2C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>На рисунке показаны две кривые: истинное значение состояния заряда и оценка, полученная методом кулоновского счёта. Видно, что по мере роста времени движения и накопления интегральной нагрузки оценка начинает систематически отклоняться от истинной траектории. При этом ошибка не является чисто случайной; она формируется вследствие дрейфа измерения тока, неучтённых потерь и, что особенно важно, изменения фактической доступной ёмкости батареи.</w:t>
      </w:r>
    </w:p>
    <w:p w14:paraId="27144E3F" w14:textId="79489AAF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заключается в демонстрации методологического ограничения классического кулоновского счёта. Это подтверждает, что параметр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 сам по себе не может служить базой для надёжной оценки ресурса. Практическая ценность рисунка состоит в обосновании необходимости совместного использования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>-оценки с деградационными и импедансными индикаторами, особенно в системах управления тяговыми батареями электротранспорта.</w:t>
      </w:r>
    </w:p>
    <w:p w14:paraId="046824E9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DFBB51" w14:textId="1FC03AA7" w:rsidR="00AA580B" w:rsidRPr="00764CBB" w:rsidRDefault="00394F03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4F03">
        <w:rPr>
          <w:rFonts w:ascii="Times New Roman" w:hAnsi="Times New Roman" w:cs="Times New Roman"/>
          <w:b/>
          <w:bCs/>
          <w:sz w:val="28"/>
          <w:szCs w:val="28"/>
        </w:rPr>
        <w:t>1.3.2 Состояние здоровья батареи</w:t>
      </w:r>
    </w:p>
    <w:p w14:paraId="37E204D8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501F7" w14:textId="01451356" w:rsidR="00394F03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0F5501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0F5501">
        <w:rPr>
          <w:rFonts w:ascii="Times New Roman" w:hAnsi="Times New Roman" w:cs="Times New Roman"/>
          <w:sz w:val="28"/>
          <w:szCs w:val="28"/>
        </w:rPr>
        <w:t xml:space="preserve"> предназначен для количественного описания накопленной деградации аккумуляторной системы. В классической постановке он определяется по ёмкости:</w:t>
      </w:r>
    </w:p>
    <w:p w14:paraId="68FB2489" w14:textId="7777777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FC67851" w14:textId="6B05392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939" w:dyaOrig="680" w14:anchorId="3F3E6903">
          <v:shape id="_x0000_i1043" type="#_x0000_t75" style="width:96.2pt;height:34pt" o:ole="">
            <v:imagedata r:id="rId54" o:title=""/>
          </v:shape>
          <o:OLEObject Type="Embed" ProgID="Equation.DSMT4" ShapeID="_x0000_i1043" DrawAspect="Content" ObjectID="_1841744468" r:id="rId55"/>
        </w:object>
      </w:r>
    </w:p>
    <w:p w14:paraId="277BE207" w14:textId="26A6C25B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21498A2" w14:textId="082B6E56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act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текущая доступная ёскость;</w:t>
      </w:r>
    </w:p>
    <w:p w14:paraId="4E4626A6" w14:textId="1CB6D09D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0F5501">
        <w:rPr>
          <w:rFonts w:ascii="Times New Roman" w:hAnsi="Times New Roman" w:cs="Times New Roman"/>
          <w:sz w:val="28"/>
          <w:szCs w:val="28"/>
        </w:rPr>
        <w:t xml:space="preserve"> – начальная ёмкость новой батареи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B3C19C" w14:textId="243D9539" w:rsidR="000F5501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Однако такая трактовка охватывает лишь один аспект старения — потерю способности накапливать заряд.</w:t>
      </w:r>
    </w:p>
    <w:p w14:paraId="7116D5B0" w14:textId="1AA14A9A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С практической точки зрения столь же важным является рост внутреннего сопротивления, особенно сопротивления переноса заряда и общего импеданса, поскольку именно они ограничивают мощность, усиливают тепловыделение и ухудшают работу батареи в режиме разгона и рекуперации. Поэтому в расширенной инженерной постановке следует использовать также импедансную интерпретацию состояния здоровья:</w:t>
      </w:r>
    </w:p>
    <w:p w14:paraId="472FAEF6" w14:textId="77777777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C8FE2E" w14:textId="41408E29" w:rsidR="00883ADC" w:rsidRP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53D2">
        <w:rPr>
          <w:rFonts w:ascii="Times New Roman" w:hAnsi="Times New Roman" w:cs="Times New Roman"/>
          <w:position w:val="-30"/>
          <w:sz w:val="28"/>
          <w:szCs w:val="28"/>
        </w:rPr>
        <w:object w:dxaOrig="1960" w:dyaOrig="680" w14:anchorId="30A09688">
          <v:shape id="_x0000_i1044" type="#_x0000_t75" style="width:97.35pt;height:34pt" o:ole="">
            <v:imagedata r:id="rId56" o:title=""/>
          </v:shape>
          <o:OLEObject Type="Embed" ProgID="Equation.DSMT4" ShapeID="_x0000_i1044" DrawAspect="Content" ObjectID="_1841744469" r:id="rId57"/>
        </w:object>
      </w:r>
    </w:p>
    <w:p w14:paraId="35755446" w14:textId="2F9D64B8" w:rsidR="00883ADC" w:rsidRP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3D2">
        <w:rPr>
          <w:rFonts w:ascii="Times New Roman" w:hAnsi="Times New Roman" w:cs="Times New Roman"/>
          <w:sz w:val="28"/>
          <w:szCs w:val="28"/>
        </w:rPr>
        <w:t>или, в более специализированной форме,</w:t>
      </w:r>
    </w:p>
    <w:p w14:paraId="1734F9E6" w14:textId="51810987" w:rsid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53D2">
        <w:rPr>
          <w:rFonts w:ascii="Times New Roman" w:hAnsi="Times New Roman" w:cs="Times New Roman"/>
          <w:position w:val="-12"/>
          <w:sz w:val="28"/>
          <w:szCs w:val="28"/>
        </w:rPr>
        <w:object w:dxaOrig="1560" w:dyaOrig="360" w14:anchorId="47C6B96B">
          <v:shape id="_x0000_i1045" type="#_x0000_t75" style="width:77.75pt;height:17.3pt" o:ole="">
            <v:imagedata r:id="rId58" o:title=""/>
          </v:shape>
          <o:OLEObject Type="Embed" ProgID="Equation.DSMT4" ShapeID="_x0000_i1045" DrawAspect="Content" ObjectID="_1841744470" r:id="rId59"/>
        </w:object>
      </w:r>
    </w:p>
    <w:p w14:paraId="2C248A42" w14:textId="4FF39D83" w:rsidR="008353D2" w:rsidRDefault="008353D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8353D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химически специфическая функция перехода от сопротивления переноса заряда к показателю состояния.</w:t>
      </w:r>
    </w:p>
    <w:p w14:paraId="6762AF80" w14:textId="76EC1B5C" w:rsidR="008353D2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102D">
        <w:rPr>
          <w:rFonts w:ascii="Times New Roman" w:hAnsi="Times New Roman" w:cs="Times New Roman"/>
          <w:sz w:val="28"/>
          <w:szCs w:val="28"/>
        </w:rPr>
        <w:t>Такой подход имеет прямое физическое основание. Если</w:t>
      </w:r>
    </w:p>
    <w:p w14:paraId="0C1C48B0" w14:textId="77777777" w:rsidR="00A1102D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C4D46F" w14:textId="190AADE7" w:rsidR="00A1102D" w:rsidRPr="00A1102D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02D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3FADD88C">
          <v:shape id="_x0000_i1046" type="#_x0000_t75" style="width:47.8pt;height:34pt" o:ole="">
            <v:imagedata r:id="rId60" o:title=""/>
          </v:shape>
          <o:OLEObject Type="Embed" ProgID="Equation.DSMT4" ShapeID="_x0000_i1046" DrawAspect="Content" ObjectID="_1841744471" r:id="rId61"/>
        </w:object>
      </w:r>
    </w:p>
    <w:p w14:paraId="1983EBCA" w14:textId="5A574E4E" w:rsidR="00A1102D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то рост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означает уменьшение обменного тока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а следовательно, ухудшение кинетики электрохимической реакции, уменьшение активной поверхности и усиление межфазных ограничений. Следовательно,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выраженный через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>, оказывается чувствителен не только к уже накопленной потере ёмкости, но и к ранним стадиям деградации, когда мощностные характеристики начинают ухудшаться раньше, чем ёмкость достигает предельного уровня.</w:t>
      </w:r>
    </w:p>
    <w:p w14:paraId="2F2592CB" w14:textId="167079D5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В диссертационной логике это обстоятельство особенно важно. Если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определяется только через ёмкость, то диагностика становится «запаздывающей»: значительные внутренние нарушения могут ещё не привести к критическому </w:t>
      </w:r>
      <w:r w:rsidRPr="00390659">
        <w:rPr>
          <w:rFonts w:ascii="Times New Roman" w:hAnsi="Times New Roman" w:cs="Times New Roman"/>
          <w:sz w:val="28"/>
          <w:szCs w:val="28"/>
          <w:highlight w:val="yellow"/>
        </w:rPr>
        <w:t>capacity fade</w:t>
      </w:r>
      <w:r w:rsidRPr="00390659">
        <w:rPr>
          <w:rFonts w:ascii="Times New Roman" w:hAnsi="Times New Roman" w:cs="Times New Roman"/>
          <w:sz w:val="28"/>
          <w:szCs w:val="28"/>
        </w:rPr>
        <w:t xml:space="preserve">. Если же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учитывает и импедансные параметры, то диагностическая система становится значительно более чувствительной к ранней деградации.</w:t>
      </w:r>
    </w:p>
    <w:p w14:paraId="0C29DFD1" w14:textId="77777777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F6B920" w14:textId="0F7A23C0" w:rsidR="00390659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1.3 – Основные формы представления состояния здоровья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90"/>
        <w:gridCol w:w="2672"/>
        <w:gridCol w:w="2197"/>
        <w:gridCol w:w="2368"/>
      </w:tblGrid>
      <w:tr w:rsidR="00B509A7" w14:paraId="7DCA3289" w14:textId="77777777" w:rsidTr="00B509A7">
        <w:tc>
          <w:tcPr>
            <w:tcW w:w="2406" w:type="dxa"/>
          </w:tcPr>
          <w:p w14:paraId="7DEED8CD" w14:textId="40CFC229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Форма показателя</w:t>
            </w:r>
          </w:p>
        </w:tc>
        <w:tc>
          <w:tcPr>
            <w:tcW w:w="2407" w:type="dxa"/>
          </w:tcPr>
          <w:p w14:paraId="4F0034F2" w14:textId="08E07D7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Формула</w:t>
            </w:r>
          </w:p>
        </w:tc>
        <w:tc>
          <w:tcPr>
            <w:tcW w:w="2407" w:type="dxa"/>
          </w:tcPr>
          <w:p w14:paraId="55FC0726" w14:textId="2EBCB42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40AB1179" w14:textId="535C6E13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B509A7" w:rsidRPr="00B509A7" w14:paraId="120F83B4" w14:textId="77777777" w:rsidTr="00B509A7">
        <w:tc>
          <w:tcPr>
            <w:tcW w:w="2406" w:type="dxa"/>
          </w:tcPr>
          <w:p w14:paraId="51019AF8" w14:textId="13A854D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Ёмкостная</w:t>
            </w:r>
          </w:p>
        </w:tc>
        <w:tc>
          <w:tcPr>
            <w:tcW w:w="2407" w:type="dxa"/>
          </w:tcPr>
          <w:p w14:paraId="45A2F6D5" w14:textId="203252F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640" w:dyaOrig="360" w14:anchorId="1EE898F0">
                <v:shape id="_x0000_i1047" type="#_x0000_t75" style="width:81.2pt;height:17.3pt" o:ole="">
                  <v:imagedata r:id="rId62" o:title=""/>
                </v:shape>
                <o:OLEObject Type="Embed" ProgID="Equation.DSMT4" ShapeID="_x0000_i1047" DrawAspect="Content" ObjectID="_1841744472" r:id="rId63"/>
              </w:object>
            </w:r>
          </w:p>
        </w:tc>
        <w:tc>
          <w:tcPr>
            <w:tcW w:w="2407" w:type="dxa"/>
          </w:tcPr>
          <w:p w14:paraId="17E421F2" w14:textId="0AF1A876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Потеря способности накапливать заряд</w:t>
            </w:r>
          </w:p>
        </w:tc>
        <w:tc>
          <w:tcPr>
            <w:tcW w:w="2407" w:type="dxa"/>
          </w:tcPr>
          <w:p w14:paraId="25F70F37" w14:textId="4A87C8D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 xml:space="preserve">Слабая чувствительность к раннему </w:t>
            </w:r>
            <w:r w:rsidRPr="00B509A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power fade</w:t>
            </w:r>
          </w:p>
        </w:tc>
      </w:tr>
      <w:tr w:rsidR="00B509A7" w:rsidRPr="00B509A7" w14:paraId="2B07B117" w14:textId="77777777" w:rsidTr="00B509A7">
        <w:tc>
          <w:tcPr>
            <w:tcW w:w="2406" w:type="dxa"/>
          </w:tcPr>
          <w:p w14:paraId="783C583E" w14:textId="18A0203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Резистивная</w:t>
            </w:r>
          </w:p>
        </w:tc>
        <w:tc>
          <w:tcPr>
            <w:tcW w:w="2407" w:type="dxa"/>
          </w:tcPr>
          <w:p w14:paraId="3E124A25" w14:textId="681E41A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620" w:dyaOrig="360" w14:anchorId="19708454">
                <v:shape id="_x0000_i1048" type="#_x0000_t75" style="width:80.65pt;height:17.3pt" o:ole="">
                  <v:imagedata r:id="rId64" o:title=""/>
                </v:shape>
                <o:OLEObject Type="Embed" ProgID="Equation.DSMT4" ShapeID="_x0000_i1048" DrawAspect="Content" ObjectID="_1841744473" r:id="rId65"/>
              </w:object>
            </w:r>
          </w:p>
        </w:tc>
        <w:tc>
          <w:tcPr>
            <w:tcW w:w="2407" w:type="dxa"/>
          </w:tcPr>
          <w:p w14:paraId="5EB33E96" w14:textId="1918E60B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Рост внутренних потерь и снижение мощности</w:t>
            </w:r>
          </w:p>
        </w:tc>
        <w:tc>
          <w:tcPr>
            <w:tcW w:w="2407" w:type="dxa"/>
          </w:tcPr>
          <w:p w14:paraId="1D74F5D5" w14:textId="2C4BF578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Интегральная трактовка, без разделения механизмов</w:t>
            </w:r>
          </w:p>
        </w:tc>
      </w:tr>
      <w:tr w:rsidR="00B509A7" w:rsidRPr="00B509A7" w14:paraId="1A89E33C" w14:textId="77777777" w:rsidTr="00B509A7">
        <w:tc>
          <w:tcPr>
            <w:tcW w:w="2406" w:type="dxa"/>
          </w:tcPr>
          <w:p w14:paraId="6121887C" w14:textId="10C4295F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Импедансная</w:t>
            </w:r>
          </w:p>
        </w:tc>
        <w:tc>
          <w:tcPr>
            <w:tcW w:w="2407" w:type="dxa"/>
          </w:tcPr>
          <w:p w14:paraId="5E7DE1AD" w14:textId="54F3EC6C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60" w:dyaOrig="440" w14:anchorId="65B0F920">
                <v:shape id="_x0000_i1049" type="#_x0000_t75" style="width:122.7pt;height:21.9pt" o:ole="">
                  <v:imagedata r:id="rId66" o:title=""/>
                </v:shape>
                <o:OLEObject Type="Embed" ProgID="Equation.DSMT4" ShapeID="_x0000_i1049" DrawAspect="Content" ObjectID="_1841744474" r:id="rId67"/>
              </w:object>
            </w:r>
          </w:p>
        </w:tc>
        <w:tc>
          <w:tcPr>
            <w:tcW w:w="2407" w:type="dxa"/>
          </w:tcPr>
          <w:p w14:paraId="1E478184" w14:textId="131D1D5D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>Отражает межфазную и диффузионную деградацию</w:t>
            </w:r>
          </w:p>
        </w:tc>
        <w:tc>
          <w:tcPr>
            <w:tcW w:w="2407" w:type="dxa"/>
          </w:tcPr>
          <w:p w14:paraId="38406C5C" w14:textId="6AC6CE82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>Требует параметрической идентификации спектра</w:t>
            </w:r>
          </w:p>
        </w:tc>
      </w:tr>
      <w:tr w:rsidR="00B509A7" w:rsidRPr="00B509A7" w14:paraId="6EAAB412" w14:textId="77777777" w:rsidTr="00B509A7">
        <w:tc>
          <w:tcPr>
            <w:tcW w:w="2406" w:type="dxa"/>
          </w:tcPr>
          <w:p w14:paraId="36DF3829" w14:textId="20DE4B8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Комбинированная</w:t>
            </w:r>
          </w:p>
        </w:tc>
        <w:tc>
          <w:tcPr>
            <w:tcW w:w="2407" w:type="dxa"/>
          </w:tcPr>
          <w:p w14:paraId="2C7A3BB0" w14:textId="170BEC92" w:rsidR="00B509A7" w:rsidRPr="00B509A7" w:rsidRDefault="007C256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C2566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20" w:dyaOrig="440" w14:anchorId="5A5FABEE">
                <v:shape id="_x0000_i1050" type="#_x0000_t75" style="width:120.95pt;height:21.9pt" o:ole="">
                  <v:imagedata r:id="rId68" o:title=""/>
                </v:shape>
                <o:OLEObject Type="Embed" ProgID="Equation.DSMT4" ShapeID="_x0000_i1050" DrawAspect="Content" ObjectID="_1841744475" r:id="rId69"/>
              </w:object>
            </w:r>
          </w:p>
        </w:tc>
        <w:tc>
          <w:tcPr>
            <w:tcW w:w="2407" w:type="dxa"/>
          </w:tcPr>
          <w:p w14:paraId="68508AA7" w14:textId="5DF57945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Совместно учитывает ёмкость и внутреннюю деградацию</w:t>
            </w:r>
          </w:p>
        </w:tc>
        <w:tc>
          <w:tcPr>
            <w:tcW w:w="2407" w:type="dxa"/>
          </w:tcPr>
          <w:p w14:paraId="74E41FF3" w14:textId="1BD53FE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Более сложна для реализации, но наиболее содержательна</w:t>
            </w:r>
          </w:p>
        </w:tc>
      </w:tr>
    </w:tbl>
    <w:p w14:paraId="3A5C776C" w14:textId="77777777" w:rsidR="00371DD5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639726" w14:textId="5D3828EB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6228">
        <w:rPr>
          <w:rFonts w:ascii="Times New Roman" w:hAnsi="Times New Roman" w:cs="Times New Roman"/>
          <w:sz w:val="28"/>
          <w:szCs w:val="28"/>
        </w:rPr>
        <w:t xml:space="preserve">Из таблицы следует, что наиболее перспективной для целей диссертации является именно комбинированная и импедансная интерпретация </w:t>
      </w:r>
      <w:r w:rsidRPr="00AC622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C6228">
        <w:rPr>
          <w:rFonts w:ascii="Times New Roman" w:hAnsi="Times New Roman" w:cs="Times New Roman"/>
          <w:sz w:val="28"/>
          <w:szCs w:val="28"/>
        </w:rPr>
        <w:t>, так как она обеспечивает более ранний и физически более содержательный контроль состояния батареи.</w:t>
      </w:r>
    </w:p>
    <w:p w14:paraId="2187668D" w14:textId="2E69D79E" w:rsidR="00AC6228" w:rsidRPr="00764CBB" w:rsidRDefault="00C4417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4176">
        <w:rPr>
          <w:rFonts w:ascii="Times New Roman" w:hAnsi="Times New Roman" w:cs="Times New Roman"/>
          <w:sz w:val="28"/>
          <w:szCs w:val="28"/>
        </w:rPr>
        <w:t xml:space="preserve">В опытной серии ресурсных испытаний была построена зависимость состояния здоровья батарей 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различных химических систем от сопротивления переноса заряда. Это позволило проверить гипотезу о том, что 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может </w:t>
      </w:r>
      <w:r w:rsidR="00352611" w:rsidRPr="00352611">
        <w:rPr>
          <w:rFonts w:ascii="Times New Roman" w:hAnsi="Times New Roman" w:cs="Times New Roman"/>
          <w:sz w:val="28"/>
          <w:szCs w:val="28"/>
        </w:rPr>
        <w:lastRenderedPageBreak/>
        <w:t xml:space="preserve">использоваться как универсальный, но </w:t>
      </w:r>
      <w:r w:rsidR="00352611" w:rsidRPr="00414374">
        <w:rPr>
          <w:rFonts w:ascii="Times New Roman" w:hAnsi="Times New Roman" w:cs="Times New Roman"/>
          <w:sz w:val="28"/>
          <w:szCs w:val="28"/>
          <w:highlight w:val="yellow"/>
        </w:rPr>
        <w:t>химически различно калибруемый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индикатор деградации</w:t>
      </w:r>
      <w:r w:rsidR="00352611">
        <w:rPr>
          <w:rFonts w:ascii="Times New Roman" w:hAnsi="Times New Roman" w:cs="Times New Roman"/>
          <w:sz w:val="28"/>
          <w:szCs w:val="28"/>
        </w:rPr>
        <w:t>.</w:t>
      </w:r>
    </w:p>
    <w:p w14:paraId="637D710C" w14:textId="77777777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89D65" w14:textId="459AFEAA" w:rsidR="00414374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FDB78A" wp14:editId="438C9F8A">
            <wp:extent cx="6119495" cy="3520440"/>
            <wp:effectExtent l="0" t="0" r="0" b="3810"/>
            <wp:docPr id="9204559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A88E1" w14:textId="49D68F9A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9F1">
        <w:rPr>
          <w:rFonts w:ascii="Times New Roman" w:hAnsi="Times New Roman" w:cs="Times New Roman"/>
          <w:sz w:val="28"/>
          <w:szCs w:val="28"/>
        </w:rPr>
        <w:t>Рисунок 1.9 — Связь состояния здоровья батареи и сопротивления переноса заряда</w:t>
      </w:r>
    </w:p>
    <w:p w14:paraId="3F949D22" w14:textId="77777777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53CA81" w14:textId="555349E6" w:rsidR="00F109F1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На рисунке представлены зависимости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FC253A">
        <w:rPr>
          <w:rFonts w:ascii="Times New Roman" w:hAnsi="Times New Roman" w:cs="Times New Roman"/>
          <w:sz w:val="28"/>
          <w:szCs w:val="28"/>
        </w:rPr>
        <w:t>NMC, LFP, LTO и Na-ion систем.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всех химий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наблюдается монотонное снижение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ростом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однако характер наклона кривых различен.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 xml:space="preserve">Это означает, что сам показатель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sz w:val="28"/>
          <w:szCs w:val="28"/>
        </w:rPr>
        <w:t xml:space="preserve"> действительно универсален с точки зрения физического смысла, но его количественная интерпретация должна зависеть от химической системы.</w:t>
      </w:r>
    </w:p>
    <w:p w14:paraId="19849A56" w14:textId="6E4299A9" w:rsidR="00FC253A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Для NMC и Na-ion характерен более резкий спад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росте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что соответствует высокой чувствительности этих систем к межфазным и поляризационным ограничениям.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LFP зависимость более пологая, что согласуется с большей структурной стабильностью.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 xml:space="preserve">Для LTO наблюдается </w:t>
      </w:r>
      <w:r w:rsidRPr="00FC253A">
        <w:rPr>
          <w:rFonts w:ascii="Times New Roman" w:hAnsi="Times New Roman" w:cs="Times New Roman"/>
          <w:sz w:val="28"/>
          <w:szCs w:val="28"/>
        </w:rPr>
        <w:lastRenderedPageBreak/>
        <w:t>наименьшая крутизна, что отражает высокий ресурс и сравнительно медленное накопление деградации.</w:t>
      </w:r>
    </w:p>
    <w:p w14:paraId="5B8B46A1" w14:textId="4A457561" w:rsidR="00FC253A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установлении количественной связи между импедансным параметром и состоянием здоровья батареи. Это создаёт основу для последующего перехода к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54D08" w:rsidRPr="00F54D08">
        <w:rPr>
          <w:rFonts w:ascii="Times New Roman" w:hAnsi="Times New Roman" w:cs="Times New Roman"/>
          <w:sz w:val="28"/>
          <w:szCs w:val="28"/>
        </w:rPr>
        <w:t>Практическая польза рисунка состоит в том, что он позволяет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sz w:val="28"/>
          <w:szCs w:val="28"/>
        </w:rPr>
        <w:t>использовать измерение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F54D08" w:rsidRPr="00F54D08">
        <w:rPr>
          <w:rFonts w:ascii="Times New Roman" w:hAnsi="Times New Roman" w:cs="Times New Roman"/>
          <w:sz w:val="28"/>
          <w:szCs w:val="28"/>
        </w:rPr>
        <w:t xml:space="preserve"> как оперативную процедуру оценки состояния батареи без выполнения полного ресурсного разряда.</w:t>
      </w:r>
    </w:p>
    <w:p w14:paraId="64C374C4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1A1C75" w14:textId="193F13F1" w:rsidR="00F54D08" w:rsidRPr="00764CBB" w:rsidRDefault="00126864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26864">
        <w:rPr>
          <w:rFonts w:ascii="Times New Roman" w:hAnsi="Times New Roman" w:cs="Times New Roman"/>
          <w:b/>
          <w:bCs/>
          <w:sz w:val="28"/>
          <w:szCs w:val="28"/>
        </w:rPr>
        <w:t>1.3.3 Состояние мощности батареи</w:t>
      </w:r>
    </w:p>
    <w:p w14:paraId="65575D96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CCFCAE" w14:textId="0574B436" w:rsidR="00126864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DBC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04DBC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04DBC">
        <w:rPr>
          <w:rFonts w:ascii="Times New Roman" w:hAnsi="Times New Roman" w:cs="Times New Roman"/>
          <w:sz w:val="28"/>
          <w:szCs w:val="28"/>
        </w:rPr>
        <w:t xml:space="preserve"> отражает способность батареи обеспечить требуемую мощность в текущих условиях эксплуатации. С физической точки зрения этот показатель определяется не только запасом энергии, но и внутренним сопротивлением, поляризацией, температурой и допустимым диапазоном напряжения. В наиболее простом электротехническом приближении максимальная мощность на нагрузке определяется теоремой согласования:</w:t>
      </w:r>
    </w:p>
    <w:p w14:paraId="4223C3CF" w14:textId="77777777" w:rsidR="00604DBC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7F6B2A" w14:textId="51BADA93" w:rsidR="00604DBC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3D88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180" w:dyaOrig="720" w14:anchorId="446C191F">
          <v:shape id="_x0000_i1051" type="#_x0000_t75" style="width:58.75pt;height:36.3pt" o:ole="">
            <v:imagedata r:id="rId71" o:title=""/>
          </v:shape>
          <o:OLEObject Type="Embed" ProgID="Equation.DSMT4" ShapeID="_x0000_i1051" DrawAspect="Content" ObjectID="_1841744476" r:id="rId72"/>
        </w:object>
      </w:r>
    </w:p>
    <w:p w14:paraId="1DBD6007" w14:textId="73BABD40" w:rsidR="00604DBC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08F60A23" w14:textId="15F5B29B" w:rsidR="00683D88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напряжение источника,</w:t>
      </w:r>
    </w:p>
    <w:p w14:paraId="407040E3" w14:textId="3355D9FE" w:rsidR="00683D88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3D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внутреннее сопротивление батареи.</w:t>
      </w:r>
    </w:p>
    <w:p w14:paraId="1DB2A935" w14:textId="70BA45C1" w:rsidR="00683D88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Это выражение выводится из классической задачи о передаче мощности от источника с внутренним сопротивлением к внешней нагрузке и используется здесь как первое приближение для связи между импедансным состоянием батареи и её мощностным потенциалом.</w:t>
      </w:r>
    </w:p>
    <w:p w14:paraId="2B826223" w14:textId="66FF88AE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lastRenderedPageBreak/>
        <w:t>Однако для электрохимической системы этого недостаточно. В реальной батарее ограничение мощности связано также с допустимой глубиной поляризации, тепловыми лимитами и скоростью массопереноса. Поэтому в более содержательной форме</w:t>
      </w:r>
    </w:p>
    <w:p w14:paraId="48E48771" w14:textId="77777777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45126F" w14:textId="4567F2EC" w:rsidR="004541DF" w:rsidRP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7450">
        <w:rPr>
          <w:rFonts w:ascii="Times New Roman" w:hAnsi="Times New Roman" w:cs="Times New Roman"/>
          <w:position w:val="-16"/>
          <w:sz w:val="28"/>
          <w:szCs w:val="28"/>
        </w:rPr>
        <w:object w:dxaOrig="3820" w:dyaOrig="440" w14:anchorId="7AE252E7">
          <v:shape id="_x0000_i1052" type="#_x0000_t75" style="width:191.25pt;height:21.9pt" o:ole="">
            <v:imagedata r:id="rId73" o:title=""/>
          </v:shape>
          <o:OLEObject Type="Embed" ProgID="Equation.DSMT4" ShapeID="_x0000_i1052" DrawAspect="Content" ObjectID="_1841744477" r:id="rId74"/>
        </w:object>
      </w:r>
    </w:p>
    <w:p w14:paraId="6EDCF0D2" w14:textId="711D18CB" w:rsidR="004541DF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1D7450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1D745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lim</w:t>
      </w:r>
      <w:r w:rsidRPr="001D745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предельно допустимое </w:t>
      </w:r>
      <w:r w:rsidRPr="001D7450">
        <w:rPr>
          <w:rFonts w:ascii="Times New Roman" w:hAnsi="Times New Roman" w:cs="Times New Roman"/>
          <w:sz w:val="28"/>
          <w:szCs w:val="28"/>
          <w:highlight w:val="yellow"/>
        </w:rPr>
        <w:t>напряжение границы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54FF71" w14:textId="25A943C8" w:rsid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450">
        <w:rPr>
          <w:rFonts w:ascii="Times New Roman" w:hAnsi="Times New Roman" w:cs="Times New Roman"/>
          <w:sz w:val="28"/>
          <w:szCs w:val="28"/>
        </w:rPr>
        <w:t>Эта запись отражает тот факт, что мощностное состояние батареи является интегральным следствием как текущего заряда, так и внутренней деградации.</w:t>
      </w:r>
    </w:p>
    <w:p w14:paraId="66BAFCAA" w14:textId="4CDAF410" w:rsidR="001D7450" w:rsidRDefault="006B48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4872">
        <w:rPr>
          <w:rFonts w:ascii="Times New Roman" w:hAnsi="Times New Roman" w:cs="Times New Roman"/>
          <w:sz w:val="28"/>
          <w:szCs w:val="28"/>
        </w:rPr>
        <w:t xml:space="preserve">Для тягового электротранспорта параметр </w:t>
      </w:r>
      <w:r w:rsidRPr="006B4872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особенно важен, поскольку именно он ограничивает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способность транспортного средства к ускорению,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поддержанию высокой тяговой мощности и эффективной рекуперации.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В ряде случаев батарея может сохранять приемлемый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из-за роста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B487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общего импеданса.</w:t>
      </w:r>
      <w:r w:rsidR="00FC19D7">
        <w:rPr>
          <w:rFonts w:ascii="Times New Roman" w:hAnsi="Times New Roman" w:cs="Times New Roman"/>
          <w:sz w:val="28"/>
          <w:szCs w:val="28"/>
        </w:rPr>
        <w:t xml:space="preserve"> </w:t>
      </w:r>
      <w:r w:rsidR="00FC19D7" w:rsidRPr="00FC19D7">
        <w:rPr>
          <w:rFonts w:ascii="Times New Roman" w:hAnsi="Times New Roman" w:cs="Times New Roman"/>
          <w:sz w:val="28"/>
          <w:szCs w:val="28"/>
        </w:rPr>
        <w:t>Это является ещё одним аргументом в пользу импедансной диагностики как основы прогноза ресурса.</w:t>
      </w:r>
    </w:p>
    <w:p w14:paraId="4E0404B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8059A9" w14:textId="0B79A86F" w:rsidR="00FC19D7" w:rsidRP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19D7">
        <w:rPr>
          <w:rFonts w:ascii="Times New Roman" w:hAnsi="Times New Roman" w:cs="Times New Roman"/>
          <w:b/>
          <w:bCs/>
          <w:sz w:val="28"/>
          <w:szCs w:val="28"/>
        </w:rPr>
        <w:t>1.3.4 Остаточный ресурс батареи</w:t>
      </w:r>
    </w:p>
    <w:p w14:paraId="4A8AF29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E728AA" w14:textId="12A6F67D" w:rsidR="00FC19D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3C57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0D7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593C57">
        <w:rPr>
          <w:rFonts w:ascii="Times New Roman" w:hAnsi="Times New Roman" w:cs="Times New Roman"/>
          <w:sz w:val="28"/>
          <w:szCs w:val="28"/>
        </w:rPr>
        <w:t xml:space="preserve"> представляет собой оценку времени или числа циклов до достижения предельного состояния аккумуляторной системы. </w:t>
      </w:r>
      <w:r>
        <w:rPr>
          <w:rFonts w:ascii="Times New Roman" w:hAnsi="Times New Roman" w:cs="Times New Roman"/>
          <w:sz w:val="28"/>
          <w:szCs w:val="28"/>
        </w:rPr>
        <w:t xml:space="preserve">Если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число циклов, </w:t>
      </w:r>
      <w:r w:rsidRPr="00593C57">
        <w:rPr>
          <w:rFonts w:ascii="Times New Roman" w:hAnsi="Times New Roman" w:cs="Times New Roman"/>
          <w:sz w:val="28"/>
          <w:szCs w:val="28"/>
        </w:rPr>
        <w:t>соответствующее достижению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sz w:val="28"/>
          <w:szCs w:val="28"/>
        </w:rPr>
        <w:t>граничного состояния,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текущее число циклов, то в простейшем виде:</w:t>
      </w:r>
    </w:p>
    <w:p w14:paraId="12FEEE00" w14:textId="77777777" w:rsidR="00593C5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579A87" w14:textId="3D369E43" w:rsidR="00593C57" w:rsidRP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0901">
        <w:rPr>
          <w:rFonts w:ascii="Times New Roman" w:hAnsi="Times New Roman" w:cs="Times New Roman"/>
          <w:position w:val="-12"/>
          <w:sz w:val="28"/>
          <w:szCs w:val="28"/>
        </w:rPr>
        <w:object w:dxaOrig="1780" w:dyaOrig="360" w14:anchorId="5EF1CD4E">
          <v:shape id="_x0000_i1053" type="#_x0000_t75" style="width:88.7pt;height:17.3pt" o:ole="">
            <v:imagedata r:id="rId75" o:title=""/>
          </v:shape>
          <o:OLEObject Type="Embed" ProgID="Equation.DSMT4" ShapeID="_x0000_i1053" DrawAspect="Content" ObjectID="_1841744478" r:id="rId76"/>
        </w:object>
      </w:r>
    </w:p>
    <w:p w14:paraId="6524B429" w14:textId="77777777" w:rsidR="00593C5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CFC0D9" w14:textId="3BC85704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01">
        <w:rPr>
          <w:rFonts w:ascii="Times New Roman" w:hAnsi="Times New Roman" w:cs="Times New Roman"/>
          <w:sz w:val="28"/>
          <w:szCs w:val="28"/>
        </w:rPr>
        <w:lastRenderedPageBreak/>
        <w:t xml:space="preserve">Однако практическая сложность состоит в том, что </w:t>
      </w:r>
      <w:r w:rsidRPr="007009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700901">
        <w:rPr>
          <w:rFonts w:ascii="Times New Roman" w:hAnsi="Times New Roman" w:cs="Times New Roman"/>
          <w:sz w:val="28"/>
          <w:szCs w:val="28"/>
        </w:rPr>
        <w:t xml:space="preserve"> заранее неизвестно. Его необходимо прогнозировать по текущей деградационной траектории. Если состояние батареи описывается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Pr="007009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700901">
        <w:rPr>
          <w:rFonts w:ascii="Times New Roman" w:hAnsi="Times New Roman" w:cs="Times New Roman"/>
          <w:sz w:val="28"/>
          <w:szCs w:val="28"/>
        </w:rPr>
        <w:t xml:space="preserve"> то предельное состояние обычно связывается с условием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1856E8C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764E24" w14:textId="482B6D10" w:rsidR="00700901" w:rsidRP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</w:rPr>
        <w:object w:dxaOrig="2079" w:dyaOrig="360" w14:anchorId="38F56FC8">
          <v:shape id="_x0000_i1054" type="#_x0000_t75" style="width:103.7pt;height:17.3pt" o:ole="">
            <v:imagedata r:id="rId77" o:title=""/>
          </v:shape>
          <o:OLEObject Type="Embed" ProgID="Equation.DSMT4" ShapeID="_x0000_i1054" DrawAspect="Content" ObjectID="_1841744479" r:id="rId78"/>
        </w:object>
      </w:r>
    </w:p>
    <w:p w14:paraId="6ED07B40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5E7087" w14:textId="59B9E292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Наиболее распространённым инженерным критерием является </w:t>
      </w:r>
      <w:r w:rsidRPr="0072389C">
        <w:rPr>
          <w:rFonts w:ascii="Times New Roman" w:hAnsi="Times New Roman" w:cs="Times New Roman"/>
          <w:sz w:val="28"/>
          <w:szCs w:val="28"/>
          <w:highlight w:val="yellow"/>
        </w:rPr>
        <w:t>уровень</w:t>
      </w:r>
    </w:p>
    <w:p w14:paraId="62334DF4" w14:textId="77777777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D52D02" w14:textId="114FB782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460" w:dyaOrig="360" w14:anchorId="3AA6288C">
          <v:shape id="_x0000_i1055" type="#_x0000_t75" style="width:73.15pt;height:17.3pt" o:ole="">
            <v:imagedata r:id="rId79" o:title=""/>
          </v:shape>
          <o:OLEObject Type="Embed" ProgID="Equation.DSMT4" ShapeID="_x0000_i1055" DrawAspect="Content" ObjectID="_1841744480" r:id="rId80"/>
        </w:object>
      </w:r>
    </w:p>
    <w:p w14:paraId="786B5538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2A46E2" w14:textId="5CDA23E3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Этот порог принят потому, что при дальнейшем снижении ёмкости и одновременном росте внутреннего сопротивления батарея обычно перестаёт удовлетворять требованиям по дальности </w:t>
      </w:r>
      <w:r w:rsidRPr="0072389C">
        <w:rPr>
          <w:rFonts w:ascii="Times New Roman" w:hAnsi="Times New Roman" w:cs="Times New Roman"/>
          <w:sz w:val="28"/>
          <w:szCs w:val="28"/>
          <w:highlight w:val="green"/>
        </w:rPr>
        <w:t>хода</w:t>
      </w:r>
      <w:r w:rsidRPr="0072389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</w:rPr>
        <w:t>мощности и тепловой устойчивости.</w:t>
      </w:r>
    </w:p>
    <w:p w14:paraId="19831B1E" w14:textId="513B3C9B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>Если же в качестве базового деградационного параметра используется сопротивление переноса заряда, то возможна альтернативная постановка:</w:t>
      </w:r>
    </w:p>
    <w:p w14:paraId="553379BD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08CC6F" w14:textId="22A788B1" w:rsidR="0072389C" w:rsidRPr="006F610E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610E">
        <w:rPr>
          <w:rFonts w:ascii="Times New Roman" w:hAnsi="Times New Roman" w:cs="Times New Roman"/>
          <w:position w:val="-30"/>
          <w:sz w:val="28"/>
          <w:szCs w:val="28"/>
        </w:rPr>
        <w:object w:dxaOrig="2060" w:dyaOrig="700" w14:anchorId="5BCDF34D">
          <v:shape id="_x0000_i1056" type="#_x0000_t75" style="width:103.1pt;height:35.15pt" o:ole="">
            <v:imagedata r:id="rId81" o:title=""/>
          </v:shape>
          <o:OLEObject Type="Embed" ProgID="Equation.DSMT4" ShapeID="_x0000_i1056" DrawAspect="Content" ObjectID="_1841744481" r:id="rId82"/>
        </w:object>
      </w:r>
    </w:p>
    <w:p w14:paraId="15C6EB2D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F14B66" w14:textId="2EE9D835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10E">
        <w:rPr>
          <w:rFonts w:ascii="Times New Roman" w:hAnsi="Times New Roman" w:cs="Times New Roman"/>
          <w:sz w:val="28"/>
          <w:szCs w:val="28"/>
        </w:rPr>
        <w:t xml:space="preserve">которая справедлива при локально линейной аппроксимации роста </w:t>
      </w:r>
      <w:r w:rsidRPr="006F61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F61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F610E">
        <w:rPr>
          <w:rFonts w:ascii="Times New Roman" w:hAnsi="Times New Roman" w:cs="Times New Roman"/>
          <w:sz w:val="28"/>
          <w:szCs w:val="28"/>
        </w:rPr>
        <w:t>. В более общем нелинейном</w:t>
      </w:r>
      <w:r w:rsidRPr="00764CBB">
        <w:rPr>
          <w:rFonts w:ascii="Times New Roman" w:hAnsi="Times New Roman" w:cs="Times New Roman"/>
          <w:sz w:val="28"/>
          <w:szCs w:val="28"/>
        </w:rPr>
        <w:t xml:space="preserve"> </w:t>
      </w:r>
      <w:r w:rsidRPr="006F610E">
        <w:rPr>
          <w:rFonts w:ascii="Times New Roman" w:hAnsi="Times New Roman" w:cs="Times New Roman"/>
          <w:sz w:val="28"/>
          <w:szCs w:val="28"/>
        </w:rPr>
        <w:t>случае следует использовать интегральную форму</w:t>
      </w:r>
    </w:p>
    <w:p w14:paraId="72465FDC" w14:textId="77777777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75B13E" w14:textId="77777777" w:rsidR="00B033D7" w:rsidRPr="00764CBB" w:rsidRDefault="00B033D7" w:rsidP="008353D2">
      <w:pPr>
        <w:spacing w:line="360" w:lineRule="auto"/>
        <w:ind w:firstLine="709"/>
        <w:jc w:val="both"/>
      </w:pPr>
      <w:r w:rsidRPr="00B033D7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26476E25">
          <v:shape id="_x0000_i1057" type="#_x0000_t75" style="width:107.15pt;height:34pt" o:ole="">
            <v:imagedata r:id="rId83" o:title=""/>
          </v:shape>
          <o:OLEObject Type="Embed" ProgID="Equation.DSMT4" ShapeID="_x0000_i1057" DrawAspect="Content" ObjectID="_1841744482" r:id="rId84"/>
        </w:object>
      </w:r>
      <w:r w:rsidRPr="00B033D7">
        <w:t xml:space="preserve"> </w:t>
      </w:r>
    </w:p>
    <w:p w14:paraId="11F2F4C3" w14:textId="5CDFE927" w:rsidR="006F610E" w:rsidRPr="00764CBB" w:rsidRDefault="00B03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33D7">
        <w:rPr>
          <w:rFonts w:ascii="Times New Roman" w:hAnsi="Times New Roman" w:cs="Times New Roman"/>
          <w:sz w:val="28"/>
          <w:szCs w:val="28"/>
        </w:rPr>
        <w:t xml:space="preserve">Происхождение этих формул очевидно из теории деградационных процессов: остаточный ресурс равен расстоянию по деградационной координате до предельного состояния, делённому на скорость накопления повреждения. Именно такой переход от текущего состояния к скорости деградации и далее к </w:t>
      </w:r>
      <w:r w:rsidRPr="00B033D7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033D7">
        <w:rPr>
          <w:rFonts w:ascii="Times New Roman" w:hAnsi="Times New Roman" w:cs="Times New Roman"/>
          <w:sz w:val="28"/>
          <w:szCs w:val="28"/>
        </w:rPr>
        <w:t xml:space="preserve"> составляет центральную прогностическую логику всей диссертации.</w:t>
      </w:r>
    </w:p>
    <w:p w14:paraId="07234D20" w14:textId="1D8C13A9" w:rsidR="00B033D7" w:rsidRPr="00707496" w:rsidRDefault="0070749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7496">
        <w:rPr>
          <w:rFonts w:ascii="Times New Roman" w:hAnsi="Times New Roman" w:cs="Times New Roman"/>
          <w:sz w:val="28"/>
          <w:szCs w:val="28"/>
        </w:rPr>
        <w:t>Для визуализации остаточного ресурса была построена деградационная траектория опытного тягового модуля, на которой отмечены текущая точка состояния и прогнозируемый момент достижения порога конца ресурса.</w:t>
      </w:r>
    </w:p>
    <w:p w14:paraId="36C24842" w14:textId="48020708" w:rsidR="006F610E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9469FEE" wp14:editId="477BC08D">
            <wp:extent cx="6119495" cy="3515360"/>
            <wp:effectExtent l="0" t="0" r="0" b="8890"/>
            <wp:docPr id="2576265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4C10" w14:textId="23D569C5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>Рисунок 1.10 — Определение остаточного ресурса по деградационной траектории</w:t>
      </w:r>
    </w:p>
    <w:p w14:paraId="77B6C8E0" w14:textId="77777777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23247B" w14:textId="4E39B6F1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 xml:space="preserve">На рисунке представлена типичная кривая деградации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1FE6">
        <w:rPr>
          <w:rFonts w:ascii="Times New Roman" w:hAnsi="Times New Roman" w:cs="Times New Roman"/>
          <w:sz w:val="28"/>
          <w:szCs w:val="28"/>
        </w:rPr>
        <w:t xml:space="preserve">, по которой определяется остаточный ресурс батареи. Вертикальная линия в левой части графика соответствует текущему состоянию батареи, а вторая вертикальная линия — ожидаемому числу циклов, при котором будет достигнут порог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=80%</w:t>
      </w:r>
      <w:r w:rsidRPr="00FC1FE6">
        <w:rPr>
          <w:rFonts w:ascii="Times New Roman" w:hAnsi="Times New Roman" w:cs="Times New Roman"/>
          <w:sz w:val="28"/>
          <w:szCs w:val="28"/>
        </w:rPr>
        <w:t xml:space="preserve">. </w:t>
      </w:r>
      <w:r w:rsidR="002638C1" w:rsidRPr="002638C1">
        <w:rPr>
          <w:rFonts w:ascii="Times New Roman" w:hAnsi="Times New Roman" w:cs="Times New Roman"/>
          <w:sz w:val="28"/>
          <w:szCs w:val="28"/>
        </w:rPr>
        <w:t>Расстояние между этими двумя линиями по оси циклов и определяет остаточный ресурс батареи в цикловой форме.</w:t>
      </w:r>
    </w:p>
    <w:p w14:paraId="558EA41F" w14:textId="05E9B47B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8C1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наглядно связывает диагностическую часть задачи с прогностической. Пока известна только текущая точка, возможна лишь констатация состояния; когда известна траектория деградации, появляется возможность прогноза </w:t>
      </w:r>
      <w:r w:rsidRPr="002638C1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638C1">
        <w:rPr>
          <w:rFonts w:ascii="Times New Roman" w:hAnsi="Times New Roman" w:cs="Times New Roman"/>
          <w:sz w:val="28"/>
          <w:szCs w:val="28"/>
        </w:rPr>
        <w:t>. Практическая ценность рисунка заключается в том, что он демонстрирует алгоритмическую основу ресурсного сопровождения батареи:</w:t>
      </w:r>
      <w:r w:rsidRPr="002638C1">
        <w:t xml:space="preserve"> </w:t>
      </w:r>
      <w:r w:rsidRPr="002638C1">
        <w:rPr>
          <w:rFonts w:ascii="Times New Roman" w:hAnsi="Times New Roman" w:cs="Times New Roman"/>
          <w:sz w:val="28"/>
          <w:szCs w:val="28"/>
        </w:rPr>
        <w:t>от измерения параметров к идентификации траектории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638C1">
        <w:rPr>
          <w:rFonts w:ascii="Times New Roman" w:hAnsi="Times New Roman" w:cs="Times New Roman"/>
          <w:sz w:val="28"/>
          <w:szCs w:val="28"/>
        </w:rPr>
        <w:t xml:space="preserve"> далее к прогнозу конца ресурса.</w:t>
      </w:r>
    </w:p>
    <w:p w14:paraId="11B08376" w14:textId="77777777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D5FB8E" w14:textId="43E7134F" w:rsidR="00520843" w:rsidRP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1.3.5 Взаимосвязь показателей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SOC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SOH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RUL</w:t>
      </w:r>
    </w:p>
    <w:p w14:paraId="64F89ADF" w14:textId="77777777" w:rsid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E4CCD7" w14:textId="27EACC09" w:rsidR="00520843" w:rsidRDefault="006D51C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1C4">
        <w:rPr>
          <w:rFonts w:ascii="Times New Roman" w:hAnsi="Times New Roman" w:cs="Times New Roman"/>
          <w:sz w:val="28"/>
          <w:szCs w:val="28"/>
        </w:rPr>
        <w:t>Рассматриваемые показатели не являются независимыми. 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D51C4">
        <w:rPr>
          <w:rFonts w:ascii="Times New Roman" w:hAnsi="Times New Roman" w:cs="Times New Roman"/>
          <w:sz w:val="28"/>
          <w:szCs w:val="28"/>
        </w:rPr>
        <w:t xml:space="preserve"> влияет на доступное напряжение и тем самым на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D51C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B15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определяет доступную ёмкость </w:t>
      </w:r>
      <w:r w:rsidR="00CB155F" w:rsidRPr="00CB155F">
        <w:rPr>
          <w:rFonts w:ascii="Times New Roman" w:hAnsi="Times New Roman" w:cs="Times New Roman"/>
          <w:sz w:val="28"/>
          <w:szCs w:val="28"/>
        </w:rPr>
        <w:t>и внутренний импеданс, а потому влияет как на запас энергии, так и на максимальную мощность. Параметр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CB155F" w:rsidRP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>
        <w:rPr>
          <w:rFonts w:ascii="Times New Roman" w:hAnsi="Times New Roman" w:cs="Times New Roman"/>
          <w:sz w:val="28"/>
          <w:szCs w:val="28"/>
        </w:rPr>
        <w:t xml:space="preserve">в </w:t>
      </w:r>
      <w:r w:rsidR="00CB155F" w:rsidRPr="00CB155F">
        <w:rPr>
          <w:rFonts w:ascii="Times New Roman" w:hAnsi="Times New Roman" w:cs="Times New Roman"/>
          <w:sz w:val="28"/>
          <w:szCs w:val="28"/>
        </w:rPr>
        <w:t>свою очередь определяется не только текущим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CB155F" w:rsidRPr="00CB155F">
        <w:rPr>
          <w:rFonts w:ascii="Times New Roman" w:hAnsi="Times New Roman" w:cs="Times New Roman"/>
          <w:sz w:val="28"/>
          <w:szCs w:val="28"/>
        </w:rPr>
        <w:t>, но и скоростью его изменения, а значит — режимом эксплуатации, температурой и внутренними импедансными параметрами.</w:t>
      </w:r>
    </w:p>
    <w:p w14:paraId="1EF4821A" w14:textId="396C7109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55F">
        <w:rPr>
          <w:rFonts w:ascii="Times New Roman" w:hAnsi="Times New Roman" w:cs="Times New Roman"/>
          <w:sz w:val="28"/>
          <w:szCs w:val="28"/>
        </w:rPr>
        <w:t>Для целей диссертации эта взаимосвязь может быть представлена системой</w:t>
      </w:r>
    </w:p>
    <w:p w14:paraId="4B5B8E36" w14:textId="77777777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D6D515" w14:textId="01BD77CF" w:rsidR="00CB155F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4"/>
          <w:sz w:val="28"/>
          <w:szCs w:val="28"/>
        </w:rPr>
        <w:object w:dxaOrig="1920" w:dyaOrig="400" w14:anchorId="666DD195">
          <v:shape id="_x0000_i1058" type="#_x0000_t75" style="width:96.2pt;height:20.75pt" o:ole="">
            <v:imagedata r:id="rId86" o:title=""/>
          </v:shape>
          <o:OLEObject Type="Embed" ProgID="Equation.DSMT4" ShapeID="_x0000_i1058" DrawAspect="Content" ObjectID="_1841744483" r:id="rId87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32E47732" w14:textId="1BC0DC49" w:rsidR="00EC5BEB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2840" w:dyaOrig="440" w14:anchorId="17814122">
          <v:shape id="_x0000_i1059" type="#_x0000_t75" style="width:142.25pt;height:21.9pt" o:ole="">
            <v:imagedata r:id="rId88" o:title=""/>
          </v:shape>
          <o:OLEObject Type="Embed" ProgID="Equation.DSMT4" ShapeID="_x0000_i1059" DrawAspect="Content" ObjectID="_1841744484" r:id="rId89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4829E069" w14:textId="712CB5EB" w:rsidR="00EC5BEB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920" w:dyaOrig="400" w14:anchorId="2994B8B5">
          <v:shape id="_x0000_i1060" type="#_x0000_t75" style="width:145.75pt;height:20.75pt" o:ole="">
            <v:imagedata r:id="rId90" o:title=""/>
          </v:shape>
          <o:OLEObject Type="Embed" ProgID="Equation.DSMT4" ShapeID="_x0000_i1060" DrawAspect="Content" ObjectID="_1841744485" r:id="rId91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3FDEBFF2" w14:textId="73743C41" w:rsidR="00CB155F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28"/>
          <w:sz w:val="28"/>
          <w:szCs w:val="28"/>
        </w:rPr>
        <w:object w:dxaOrig="4180" w:dyaOrig="680" w14:anchorId="51711635">
          <v:shape id="_x0000_i1061" type="#_x0000_t75" style="width:209.1pt;height:34pt" o:ole="">
            <v:imagedata r:id="rId92" o:title=""/>
          </v:shape>
          <o:OLEObject Type="Embed" ProgID="Equation.DSMT4" ShapeID="_x0000_i1061" DrawAspect="Content" ObjectID="_1841744486" r:id="rId93"/>
        </w:objec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CEC976" w14:textId="77777777" w:rsidR="00EC5BE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512516" w14:textId="6DCCED24" w:rsidR="00EC5BE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7E1">
        <w:rPr>
          <w:rFonts w:ascii="Times New Roman" w:hAnsi="Times New Roman" w:cs="Times New Roman"/>
          <w:sz w:val="28"/>
          <w:szCs w:val="28"/>
        </w:rPr>
        <w:t>Данная система не вводится как завершённая вычислительная модель, а задаёт структурную иерархию параметров. В последующих главах именно она будет конкретизирована сначала на уровне импедансной модели, затем на уровне диагностических критериев и, наконец, на уровне прогностического алгоритма.</w:t>
      </w:r>
    </w:p>
    <w:p w14:paraId="1EC4A504" w14:textId="77777777" w:rsidR="000347E1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0A5140" w14:paraId="1D8E8118" w14:textId="77777777" w:rsidTr="000A5140">
        <w:tc>
          <w:tcPr>
            <w:tcW w:w="2406" w:type="dxa"/>
          </w:tcPr>
          <w:p w14:paraId="6E9EABC6" w14:textId="0C767F02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2407" w:type="dxa"/>
          </w:tcPr>
          <w:p w14:paraId="5830B148" w14:textId="4CB127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Основная физическая интерпретация</w:t>
            </w:r>
          </w:p>
        </w:tc>
        <w:tc>
          <w:tcPr>
            <w:tcW w:w="2407" w:type="dxa"/>
          </w:tcPr>
          <w:p w14:paraId="5F0DF5CA" w14:textId="632A8A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Базовая формула</w:t>
            </w:r>
          </w:p>
        </w:tc>
        <w:tc>
          <w:tcPr>
            <w:tcW w:w="2407" w:type="dxa"/>
          </w:tcPr>
          <w:p w14:paraId="359B3008" w14:textId="5D882C65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Главный недостаток при изолированном использовании</w:t>
            </w:r>
          </w:p>
        </w:tc>
      </w:tr>
      <w:tr w:rsidR="000A5140" w14:paraId="7C25484A" w14:textId="77777777" w:rsidTr="000A5140">
        <w:tc>
          <w:tcPr>
            <w:tcW w:w="2406" w:type="dxa"/>
          </w:tcPr>
          <w:p w14:paraId="7EFB358E" w14:textId="2D728E83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SOC</w:t>
            </w:r>
          </w:p>
        </w:tc>
        <w:tc>
          <w:tcPr>
            <w:tcW w:w="2407" w:type="dxa"/>
          </w:tcPr>
          <w:p w14:paraId="06427F80" w14:textId="46D49D47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Текущий запас заряда</w:t>
            </w:r>
          </w:p>
        </w:tc>
        <w:tc>
          <w:tcPr>
            <w:tcW w:w="2407" w:type="dxa"/>
          </w:tcPr>
          <w:p w14:paraId="40220F2B" w14:textId="68233CA1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00" w:dyaOrig="360" w14:anchorId="5C69D783">
                <v:shape id="_x0000_i1062" type="#_x0000_t75" style="width:74.3pt;height:17.3pt" o:ole="">
                  <v:imagedata r:id="rId94" o:title=""/>
                </v:shape>
                <o:OLEObject Type="Embed" ProgID="Equation.DSMT4" ShapeID="_x0000_i1062" DrawAspect="Content" ObjectID="_1841744487" r:id="rId95"/>
              </w:object>
            </w:r>
          </w:p>
        </w:tc>
        <w:tc>
          <w:tcPr>
            <w:tcW w:w="2407" w:type="dxa"/>
          </w:tcPr>
          <w:p w14:paraId="75ACAAE7" w14:textId="1EA6E6B2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Не отражает внутреннюю деградацию</w:t>
            </w:r>
          </w:p>
        </w:tc>
      </w:tr>
      <w:tr w:rsidR="000A5140" w14:paraId="0D84C11B" w14:textId="77777777" w:rsidTr="000A5140">
        <w:tc>
          <w:tcPr>
            <w:tcW w:w="2406" w:type="dxa"/>
          </w:tcPr>
          <w:p w14:paraId="3D534022" w14:textId="0DD27F8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SOH</w:t>
            </w:r>
          </w:p>
        </w:tc>
        <w:tc>
          <w:tcPr>
            <w:tcW w:w="2407" w:type="dxa"/>
          </w:tcPr>
          <w:p w14:paraId="3DD03EEE" w14:textId="7D4C58E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Степень старения батареи</w:t>
            </w:r>
          </w:p>
        </w:tc>
        <w:tc>
          <w:tcPr>
            <w:tcW w:w="2407" w:type="dxa"/>
          </w:tcPr>
          <w:p w14:paraId="790AFD7C" w14:textId="32F72100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40" w:dyaOrig="360" w14:anchorId="3040466C">
                <v:shape id="_x0000_i1063" type="#_x0000_t75" style="width:77.75pt;height:17.3pt" o:ole="">
                  <v:imagedata r:id="rId96" o:title=""/>
                </v:shape>
                <o:OLEObject Type="Embed" ProgID="Equation.DSMT4" ShapeID="_x0000_i1063" DrawAspect="Content" ObjectID="_1841744488" r:id="rId97"/>
              </w:objec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или </w:t>
            </w: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480" w:dyaOrig="400" w14:anchorId="2D2BC0DB">
                <v:shape id="_x0000_i1064" type="#_x0000_t75" style="width:73.75pt;height:20.75pt" o:ole="">
                  <v:imagedata r:id="rId98" o:title=""/>
                </v:shape>
                <o:OLEObject Type="Embed" ProgID="Equation.DSMT4" ShapeID="_x0000_i1064" DrawAspect="Content" ObjectID="_1841744489" r:id="rId99"/>
              </w:object>
            </w:r>
          </w:p>
        </w:tc>
        <w:tc>
          <w:tcPr>
            <w:tcW w:w="2407" w:type="dxa"/>
          </w:tcPr>
          <w:p w14:paraId="35AB73C3" w14:textId="0E31228C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При ёмкостной трактовке запаздывает относительно ранней деградации</w:t>
            </w:r>
          </w:p>
        </w:tc>
      </w:tr>
      <w:tr w:rsidR="000A5140" w14:paraId="507389C7" w14:textId="77777777" w:rsidTr="000A5140">
        <w:tc>
          <w:tcPr>
            <w:tcW w:w="2406" w:type="dxa"/>
          </w:tcPr>
          <w:p w14:paraId="38F0E44D" w14:textId="5CB7EE92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SOF</w:t>
            </w:r>
          </w:p>
        </w:tc>
        <w:tc>
          <w:tcPr>
            <w:tcW w:w="2407" w:type="dxa"/>
          </w:tcPr>
          <w:p w14:paraId="0C73405B" w14:textId="2CE7B15C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Доступная мощность</w:t>
            </w:r>
          </w:p>
        </w:tc>
        <w:tc>
          <w:tcPr>
            <w:tcW w:w="2407" w:type="dxa"/>
          </w:tcPr>
          <w:p w14:paraId="3C78A97E" w14:textId="7E0F5BA8" w:rsidR="000A5140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00" w:dyaOrig="400" w14:anchorId="77DAF3F7">
                <v:shape id="_x0000_i1065" type="#_x0000_t75" style="width:100.8pt;height:20.75pt" o:ole="">
                  <v:imagedata r:id="rId100" o:title=""/>
                </v:shape>
                <o:OLEObject Type="Embed" ProgID="Equation.DSMT4" ShapeID="_x0000_i1065" DrawAspect="Content" ObjectID="_1841744490" r:id="rId101"/>
              </w:object>
            </w:r>
          </w:p>
        </w:tc>
        <w:tc>
          <w:tcPr>
            <w:tcW w:w="2407" w:type="dxa"/>
          </w:tcPr>
          <w:p w14:paraId="7C0B16B8" w14:textId="725751C7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Требует знания не только заряда, но и импедансного состояния</w:t>
            </w:r>
          </w:p>
        </w:tc>
      </w:tr>
      <w:tr w:rsidR="000A5140" w14:paraId="541815A7" w14:textId="77777777" w:rsidTr="000A5140">
        <w:tc>
          <w:tcPr>
            <w:tcW w:w="2406" w:type="dxa"/>
          </w:tcPr>
          <w:p w14:paraId="7B7977B9" w14:textId="4E839A4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RUL</w:t>
            </w:r>
          </w:p>
        </w:tc>
        <w:tc>
          <w:tcPr>
            <w:tcW w:w="2407" w:type="dxa"/>
          </w:tcPr>
          <w:p w14:paraId="7DF2EBA4" w14:textId="1287EE10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Остаточный срок службы</w:t>
            </w:r>
          </w:p>
        </w:tc>
        <w:tc>
          <w:tcPr>
            <w:tcW w:w="2407" w:type="dxa"/>
          </w:tcPr>
          <w:p w14:paraId="6B46E118" w14:textId="3E5C83C6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B6620D0">
                <v:shape id="_x0000_i1066" type="#_x0000_t75" style="width:88.7pt;height:17.3pt" o:ole="">
                  <v:imagedata r:id="rId102" o:title=""/>
                </v:shape>
                <o:OLEObject Type="Embed" ProgID="Equation.DSMT4" ShapeID="_x0000_i1066" DrawAspect="Content" ObjectID="_1841744491" r:id="rId103"/>
              </w:object>
            </w:r>
          </w:p>
        </w:tc>
        <w:tc>
          <w:tcPr>
            <w:tcW w:w="2407" w:type="dxa"/>
          </w:tcPr>
          <w:p w14:paraId="193652ED" w14:textId="24DAADC0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 xml:space="preserve">Невозможен без модели </w:t>
            </w:r>
            <w:r w:rsidRPr="00855B0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деградационной траектории</w:t>
            </w:r>
          </w:p>
        </w:tc>
      </w:tr>
    </w:tbl>
    <w:p w14:paraId="58FC8B36" w14:textId="77777777" w:rsidR="000347E1" w:rsidRPr="00764CB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ADD997" w14:textId="4385A5C4" w:rsidR="00855B00" w:rsidRPr="00D05F77" w:rsidRDefault="00131CC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CCA">
        <w:rPr>
          <w:rFonts w:ascii="Times New Roman" w:hAnsi="Times New Roman" w:cs="Times New Roman"/>
          <w:sz w:val="28"/>
          <w:szCs w:val="28"/>
        </w:rPr>
        <w:t xml:space="preserve">Таким образом, показатели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131C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образуют единую систему описания технического состояния тяговой аккумуляторной батареи. </w:t>
      </w:r>
      <w:r w:rsidRPr="00131CCA">
        <w:rPr>
          <w:rFonts w:ascii="Times New Roman" w:hAnsi="Times New Roman" w:cs="Times New Roman"/>
          <w:sz w:val="28"/>
          <w:szCs w:val="28"/>
        </w:rPr>
        <w:t>Среди 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 отражает краткосрочное состояние,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накопленную деградацию,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>
        <w:rPr>
          <w:rFonts w:ascii="Times New Roman" w:hAnsi="Times New Roman" w:cs="Times New Roman"/>
          <w:sz w:val="28"/>
          <w:szCs w:val="28"/>
        </w:rPr>
        <w:t xml:space="preserve"> – текущее силовое качество батареи, а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– её будущую работоспособность.</w:t>
      </w:r>
      <w:r w:rsidR="00D05F77" w:rsidRPr="00D05F77">
        <w:t xml:space="preserve"> </w:t>
      </w:r>
      <w:r w:rsidR="00D05F77" w:rsidRPr="00D05F77">
        <w:rPr>
          <w:rFonts w:ascii="Times New Roman" w:hAnsi="Times New Roman" w:cs="Times New Roman"/>
          <w:sz w:val="28"/>
          <w:szCs w:val="28"/>
        </w:rPr>
        <w:t>Для построения физически обоснованной системы прогноза ресурса принципиально важен переход от традиционной ёмкостной трактовки</w:t>
      </w:r>
      <w:r w:rsidR="00D05F77">
        <w:rPr>
          <w:rFonts w:ascii="Times New Roman" w:hAnsi="Times New Roman" w:cs="Times New Roman"/>
          <w:sz w:val="28"/>
          <w:szCs w:val="28"/>
        </w:rPr>
        <w:t xml:space="preserve"> </w:t>
      </w:r>
      <w:r w:rsidR="00D05F77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D05F77" w:rsidRPr="00D05F77">
        <w:rPr>
          <w:rFonts w:ascii="Times New Roman" w:hAnsi="Times New Roman" w:cs="Times New Roman"/>
          <w:sz w:val="28"/>
          <w:szCs w:val="28"/>
        </w:rPr>
        <w:t xml:space="preserve"> к его импедансной интерпретации, поскольку именно она обеспечивает раннюю чувствительность к деградации и позволяет связать диагностический и прогностический уровни анализа.</w:t>
      </w:r>
    </w:p>
    <w:p w14:paraId="77BE72A0" w14:textId="77777777" w:rsidR="00855B00" w:rsidRPr="00764CBB" w:rsidRDefault="00855B0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50536" w14:textId="1F1C8858" w:rsidR="00764CBB" w:rsidRPr="00764CBB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4CBB">
        <w:rPr>
          <w:rFonts w:ascii="Times New Roman" w:hAnsi="Times New Roman" w:cs="Times New Roman"/>
          <w:b/>
          <w:bCs/>
          <w:sz w:val="28"/>
          <w:szCs w:val="28"/>
        </w:rPr>
        <w:t>1.4 Электрохимическая импедансная спектроскопия как диагностический инструмент</w:t>
      </w:r>
    </w:p>
    <w:p w14:paraId="6FB8148B" w14:textId="77777777" w:rsidR="00764CBB" w:rsidRPr="00206F49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3C981E" w14:textId="025826D2" w:rsidR="00764CBB" w:rsidRPr="00206F49" w:rsidRDefault="00621FA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1FAF">
        <w:rPr>
          <w:rFonts w:ascii="Times New Roman" w:hAnsi="Times New Roman" w:cs="Times New Roman"/>
          <w:sz w:val="28"/>
          <w:szCs w:val="28"/>
        </w:rPr>
        <w:t xml:space="preserve">Электрохимическая импедансная спектроскопия представляет собой частотный метод анализа отклика электрохимической системы на малое гармоническое возмущение тока </w:t>
      </w:r>
      <w:r w:rsidRPr="00A15C66">
        <w:rPr>
          <w:rFonts w:ascii="Times New Roman" w:hAnsi="Times New Roman" w:cs="Times New Roman"/>
          <w:sz w:val="28"/>
          <w:szCs w:val="28"/>
          <w:highlight w:val="yellow"/>
        </w:rPr>
        <w:t>или напряжения</w:t>
      </w:r>
      <w:r w:rsidRPr="00621FAF">
        <w:rPr>
          <w:rFonts w:ascii="Times New Roman" w:hAnsi="Times New Roman" w:cs="Times New Roman"/>
          <w:sz w:val="28"/>
          <w:szCs w:val="28"/>
        </w:rPr>
        <w:t>. Современные обзоры и учебные работы подчёркивают, что EIS позволяет разложить суммарный электрический отклик батареи на вклады омической проводимости, межфазного переноса заряда, ёмкостного поведения двойного электрического слоя и диффузионного переноса вещества. Именно эта декомпозиция делает EIS особенно ценным методом для диагностики аккумуляторных батарей, поскольку различные механизмы старения отражаются в разных участках спектра и в разных параметрах эквивалентной модели. </w:t>
      </w:r>
    </w:p>
    <w:p w14:paraId="745704DF" w14:textId="74A5170C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5C66">
        <w:rPr>
          <w:rFonts w:ascii="Times New Roman" w:hAnsi="Times New Roman" w:cs="Times New Roman"/>
          <w:sz w:val="28"/>
          <w:szCs w:val="28"/>
        </w:rPr>
        <w:lastRenderedPageBreak/>
        <w:t>Математическая основа метода опирается на теорию линейных стационарных систем. Если на исследуемую электрохимическую систему подаётся гармонический ток</w:t>
      </w:r>
    </w:p>
    <w:p w14:paraId="2C646FFB" w14:textId="77777777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AD1BEC" w14:textId="4053B54C" w:rsidR="00A15C66" w:rsidRP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719" w:dyaOrig="360" w14:anchorId="5CDB74D9">
          <v:shape id="_x0000_i1067" type="#_x0000_t75" style="width:86.4pt;height:17.85pt" o:ole="">
            <v:imagedata r:id="rId104" o:title=""/>
          </v:shape>
          <o:OLEObject Type="Embed" ProgID="Equation.DSMT4" ShapeID="_x0000_i1067" DrawAspect="Content" ObjectID="_1841744492" r:id="rId105"/>
        </w:object>
      </w:r>
      <w:r w:rsidRPr="00947272">
        <w:rPr>
          <w:rFonts w:ascii="Times New Roman" w:hAnsi="Times New Roman" w:cs="Times New Roman"/>
          <w:sz w:val="28"/>
          <w:szCs w:val="28"/>
        </w:rPr>
        <w:t>,</w:t>
      </w:r>
    </w:p>
    <w:p w14:paraId="7EFADA78" w14:textId="1DB50032" w:rsidR="00A15C66" w:rsidRP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то при условии малости возмущения отклик по напряжению также будет гармоническим:</w:t>
      </w:r>
    </w:p>
    <w:p w14:paraId="34210667" w14:textId="2ADD9C04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472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939" w:dyaOrig="360" w14:anchorId="0B616DD9">
          <v:shape id="_x0000_i1068" type="#_x0000_t75" style="width:96.75pt;height:17.85pt" o:ole="">
            <v:imagedata r:id="rId106" o:title=""/>
          </v:shape>
          <o:OLEObject Type="Embed" ProgID="Equation.DSMT4" ShapeID="_x0000_i1068" DrawAspect="Content" ObjectID="_1841744493" r:id="rId107"/>
        </w:object>
      </w:r>
    </w:p>
    <w:p w14:paraId="33E50A4C" w14:textId="74C8C1C7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φ –фазовый сдвиг </w:t>
      </w:r>
      <w:r w:rsidRPr="00947272">
        <w:rPr>
          <w:rFonts w:ascii="Times New Roman" w:hAnsi="Times New Roman" w:cs="Times New Roman"/>
          <w:sz w:val="28"/>
          <w:szCs w:val="28"/>
        </w:rPr>
        <w:t>между током и напряжением.</w:t>
      </w:r>
    </w:p>
    <w:p w14:paraId="64E7185D" w14:textId="2034CABA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Переход к комплексной форме осуществляется стандартным образом через</w:t>
      </w:r>
      <w:r w:rsidR="00B76180">
        <w:rPr>
          <w:rFonts w:ascii="Times New Roman" w:hAnsi="Times New Roman" w:cs="Times New Roman"/>
          <w:sz w:val="28"/>
          <w:szCs w:val="28"/>
        </w:rPr>
        <w:t xml:space="preserve"> </w:t>
      </w:r>
      <w:r w:rsidR="00B76180" w:rsidRPr="00B76180">
        <w:rPr>
          <w:rFonts w:ascii="Times New Roman" w:hAnsi="Times New Roman" w:cs="Times New Roman"/>
          <w:sz w:val="28"/>
          <w:szCs w:val="28"/>
        </w:rPr>
        <w:t>представление гармонических функций как вещественной части комплексной экспоненты. Тогда комплексный импеданс определяется как</w:t>
      </w:r>
    </w:p>
    <w:p w14:paraId="34539E7C" w14:textId="77777777" w:rsidR="00B76180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8C048E" w14:textId="35ECE6E4" w:rsidR="00B76180" w:rsidRPr="00206F49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6180">
        <w:rPr>
          <w:rFonts w:ascii="Times New Roman" w:hAnsi="Times New Roman" w:cs="Times New Roman"/>
          <w:position w:val="-40"/>
          <w:sz w:val="28"/>
          <w:szCs w:val="28"/>
        </w:rPr>
        <w:object w:dxaOrig="1420" w:dyaOrig="920" w14:anchorId="4FA1F126">
          <v:shape id="_x0000_i1069" type="#_x0000_t75" style="width:71.4pt;height:46.1pt" o:ole="">
            <v:imagedata r:id="rId108" o:title=""/>
          </v:shape>
          <o:OLEObject Type="Embed" ProgID="Equation.DSMT4" ShapeID="_x0000_i1069" DrawAspect="Content" ObjectID="_1841744494" r:id="rId109"/>
        </w:object>
      </w:r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5893F986" w14:textId="77777777" w:rsidR="00B76180" w:rsidRPr="00206F49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D307A2" w14:textId="1096820E" w:rsidR="00B7618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 xml:space="preserve">Это соотношение является частотным </w:t>
      </w:r>
      <w:r w:rsidRPr="00AF78E0">
        <w:rPr>
          <w:rFonts w:ascii="Times New Roman" w:hAnsi="Times New Roman" w:cs="Times New Roman"/>
          <w:sz w:val="28"/>
          <w:szCs w:val="28"/>
          <w:highlight w:val="yellow"/>
        </w:rPr>
        <w:t>аналогом</w:t>
      </w:r>
      <w:r w:rsidRPr="00AF78E0">
        <w:rPr>
          <w:rFonts w:ascii="Times New Roman" w:hAnsi="Times New Roman" w:cs="Times New Roman"/>
          <w:sz w:val="28"/>
          <w:szCs w:val="28"/>
        </w:rPr>
        <w:t xml:space="preserve"> закона Ома и используется потому, что позволяет анализировать не только модуль отклика, но и фазовые соотношения, то есть различать резистивную, ёмкостную и диффузионную природу процессов внутри аккумулятора. В современной методологии EIS именно анализ комплексной формы </w:t>
      </w:r>
      <w:r w:rsidRPr="00AF78E0">
        <w:rPr>
          <w:rFonts w:ascii="Times New Roman" w:hAnsi="Times New Roman" w:cs="Times New Roman"/>
          <w:i/>
          <w:iCs/>
          <w:sz w:val="28"/>
          <w:szCs w:val="28"/>
        </w:rPr>
        <w:t>Z(ω)</w:t>
      </w:r>
      <w:r w:rsidRPr="00AF78E0">
        <w:rPr>
          <w:rFonts w:ascii="Times New Roman" w:hAnsi="Times New Roman" w:cs="Times New Roman"/>
          <w:sz w:val="28"/>
          <w:szCs w:val="28"/>
        </w:rPr>
        <w:t>, а не только модуля сопротивления, рассматривается как принципиально необходимый для корректной физической интерпретации данных.</w:t>
      </w:r>
    </w:p>
    <w:p w14:paraId="47A24970" w14:textId="05444EC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>В комплексной форме импеданс записывается как</w:t>
      </w:r>
    </w:p>
    <w:p w14:paraId="17A50F48" w14:textId="7777777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0F2DBB" w14:textId="4013224D" w:rsidR="00AF78E0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B1D5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400" w:dyaOrig="400" w14:anchorId="70603D33">
          <v:shape id="_x0000_i1070" type="#_x0000_t75" style="width:120.4pt;height:19.6pt" o:ole="">
            <v:imagedata r:id="rId110" o:title=""/>
          </v:shape>
          <o:OLEObject Type="Embed" ProgID="Equation.DSMT4" ShapeID="_x0000_i1070" DrawAspect="Content" ObjectID="_1841744495" r:id="rId111"/>
        </w:object>
      </w:r>
    </w:p>
    <w:p w14:paraId="0BF5D364" w14:textId="77777777" w:rsidR="00AF78E0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668B5C" w14:textId="087580BE" w:rsidR="002B1D51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</w:p>
    <w:p w14:paraId="78BD8369" w14:textId="0973AE50" w:rsidR="002B1D51" w:rsidRPr="00206F49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’(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B1D51">
        <w:rPr>
          <w:rFonts w:ascii="Times New Roman" w:hAnsi="Times New Roman" w:cs="Times New Roman"/>
          <w:sz w:val="28"/>
          <w:szCs w:val="28"/>
        </w:rPr>
        <w:t xml:space="preserve"> – </w:t>
      </w:r>
      <w:r w:rsidRPr="00B525A8">
        <w:rPr>
          <w:rFonts w:ascii="Times New Roman" w:hAnsi="Times New Roman" w:cs="Times New Roman"/>
          <w:sz w:val="28"/>
          <w:szCs w:val="28"/>
        </w:rPr>
        <w:t>действительная часть,</w:t>
      </w:r>
    </w:p>
    <w:p w14:paraId="476D571F" w14:textId="3730CE5D" w:rsidR="002B1D51" w:rsidRPr="00B525A8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”(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B525A8">
        <w:rPr>
          <w:rFonts w:ascii="Times New Roman" w:hAnsi="Times New Roman" w:cs="Times New Roman"/>
          <w:sz w:val="28"/>
          <w:szCs w:val="28"/>
        </w:rPr>
        <w:t xml:space="preserve"> – мнимая часть импеданса.</w:t>
      </w:r>
    </w:p>
    <w:p w14:paraId="791E3CD5" w14:textId="38CAA4C6" w:rsidR="002B1D51" w:rsidRPr="00206F49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Действительная часть соответствует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диссипативным</w:t>
      </w:r>
      <w:r w:rsidRPr="00B525A8">
        <w:rPr>
          <w:rFonts w:ascii="Times New Roman" w:hAnsi="Times New Roman" w:cs="Times New Roman"/>
          <w:sz w:val="28"/>
          <w:szCs w:val="28"/>
        </w:rPr>
        <w:t xml:space="preserve"> потерям энергии, а мнимая отражает энергонакопление и задержанные отклики системы. На этой основе строятся две классические формы представления результатов: диаграмма Найквиста, на которой откладываются </w:t>
      </w:r>
      <w:r w:rsidRPr="00B525A8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sz w:val="28"/>
          <w:szCs w:val="28"/>
        </w:rPr>
        <w:t xml:space="preserve">’ и 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и диаграмма Боде, где анализируются модуль 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Z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фазовый угол φ как функции частоты. Современные руководства и обзоры по EIS подчёркивают, что диаграмма Найквиста удобна для интерпретации эквивалентных схем и выделения полукругов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зарядопереноса</w:t>
      </w:r>
      <w:r w:rsidRPr="00B525A8">
        <w:rPr>
          <w:rFonts w:ascii="Times New Roman" w:hAnsi="Times New Roman" w:cs="Times New Roman"/>
          <w:sz w:val="28"/>
          <w:szCs w:val="28"/>
        </w:rPr>
        <w:t>, тогда как диаграмма Боде даёт более наглядное представление о частотных диапазонах доминирующих процессов.</w:t>
      </w:r>
    </w:p>
    <w:p w14:paraId="7FEE2A95" w14:textId="24EC4D81" w:rsidR="002B1D51" w:rsidRPr="00206F49" w:rsidRDefault="00B525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Для инженерного анализа аккумуляторных систем наиболее распространённой является эквивалентная схема Рэндлса или её модификации. В простейшем варианте схема содержит омическое сопротивление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параллельное соединение сопротивления переноса заряда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ёмкости двойного электрического слоя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а также диффузионный элемент Варбурга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r w:rsidRPr="00B525A8">
        <w:rPr>
          <w:rFonts w:ascii="Times New Roman" w:hAnsi="Times New Roman" w:cs="Times New Roman"/>
          <w:sz w:val="28"/>
          <w:szCs w:val="28"/>
        </w:rPr>
        <w:t xml:space="preserve">. 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Такая схема используется не потому, что полностью воспроизводит реальную пространственно-распределённую электрохимию, а потому, что позволяет свести сложный спектр к набору параметров с физически интерпретируемым смыслом. В современных работах по 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battery EIS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 подчёркивается, что корректная эквивалентная схема должна строиться из понимания физики системы, а не только из удобства 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curve fitting</w:t>
      </w:r>
      <w:r w:rsidR="00C7323B" w:rsidRPr="00C7323B">
        <w:rPr>
          <w:rFonts w:ascii="Times New Roman" w:hAnsi="Times New Roman" w:cs="Times New Roman"/>
          <w:sz w:val="28"/>
          <w:szCs w:val="28"/>
        </w:rPr>
        <w:t>.</w:t>
      </w:r>
    </w:p>
    <w:p w14:paraId="2044EAA1" w14:textId="2DB2305F" w:rsidR="00C7323B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912">
        <w:rPr>
          <w:rFonts w:ascii="Times New Roman" w:hAnsi="Times New Roman" w:cs="Times New Roman"/>
          <w:sz w:val="28"/>
          <w:szCs w:val="28"/>
        </w:rPr>
        <w:t xml:space="preserve">Для последующего анализа в диссертации в качестве базовой используется эквивалентная схема, включающая омическое сопротивление, ветвь зарядопереноса и ёмкости двойного слоя, а также диффузионный элемент </w:t>
      </w:r>
      <w:r w:rsidRPr="00A83912">
        <w:rPr>
          <w:rFonts w:ascii="Times New Roman" w:hAnsi="Times New Roman" w:cs="Times New Roman"/>
          <w:sz w:val="28"/>
          <w:szCs w:val="28"/>
        </w:rPr>
        <w:lastRenderedPageBreak/>
        <w:t>Варбурга. Именно она образует минимально достаточный набор параметров, позволяющий связать измеряемый спектр с деградационными процессами в батарее.</w:t>
      </w:r>
    </w:p>
    <w:p w14:paraId="51B7166C" w14:textId="77777777" w:rsidR="00A83912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C1A09C" w14:textId="52FE4BC4" w:rsidR="00A83912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873A2FB" wp14:editId="5D3DABD3">
            <wp:extent cx="6119495" cy="2041525"/>
            <wp:effectExtent l="0" t="0" r="0" b="0"/>
            <wp:docPr id="1646864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04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2DAB7" w14:textId="7E32D62A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5E0A">
        <w:rPr>
          <w:rFonts w:ascii="Times New Roman" w:hAnsi="Times New Roman" w:cs="Times New Roman"/>
          <w:sz w:val="28"/>
          <w:szCs w:val="28"/>
        </w:rPr>
        <w:t>Рисунок 1.11 — Эквивалентная схема импедансной модели тяговой аккумуляторной батареи</w:t>
      </w:r>
    </w:p>
    <w:p w14:paraId="73BE14A8" w14:textId="77777777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91594" w14:textId="6D699082" w:rsidR="00FA5E0A" w:rsidRDefault="00B4726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726D">
        <w:rPr>
          <w:rFonts w:ascii="Times New Roman" w:hAnsi="Times New Roman" w:cs="Times New Roman"/>
          <w:sz w:val="28"/>
          <w:szCs w:val="28"/>
        </w:rPr>
        <w:t xml:space="preserve">На рисунке представлена базовая эквивалентная схема, состоящая из омического сопротивления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, параллельной ветви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sz w:val="28"/>
          <w:szCs w:val="28"/>
        </w:rPr>
        <w:t>диффузионного элемента Варбурга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B4726D">
        <w:rPr>
          <w:rFonts w:ascii="Times New Roman" w:hAnsi="Times New Roman" w:cs="Times New Roman"/>
          <w:sz w:val="28"/>
          <w:szCs w:val="28"/>
        </w:rPr>
        <w:t xml:space="preserve">тражает проводимость электролита, токосъёмников и контактных соединений.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sz w:val="28"/>
          <w:szCs w:val="28"/>
        </w:rPr>
        <w:t xml:space="preserve"> соответствует кинетическим ограничениям межфазной реакции. Ёмкость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описывает накопление заряда в двойном электрическом слое на границе электрод–электролит. Элемент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отражает диффузионные ограничения массопереноса в твёрдой фазе и электролите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CE3EAC" w14:textId="350BAA8C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фиксирует физико-математический каркас будущей параметрической идентификации. Практическая ценность состоит в возможности перехода от сложного спектра к конечному набору параметров, пригодному для диагностики состояния и прогноза ресурса в составе BMS.</w:t>
      </w:r>
    </w:p>
    <w:p w14:paraId="1B5DC2FC" w14:textId="45AE1C7E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Для указанной схемы общий импеданс может быть записан как</w:t>
      </w:r>
    </w:p>
    <w:p w14:paraId="7B9E566A" w14:textId="77777777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2CAA6A" w14:textId="18F38BF7" w:rsidR="004A5C3A" w:rsidRP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position w:val="-30"/>
          <w:sz w:val="28"/>
          <w:szCs w:val="28"/>
        </w:rPr>
        <w:object w:dxaOrig="3340" w:dyaOrig="680" w14:anchorId="4C2B4A80">
          <v:shape id="_x0000_i1071" type="#_x0000_t75" style="width:167.05pt;height:34pt" o:ole="">
            <v:imagedata r:id="rId113" o:title=""/>
          </v:shape>
          <o:OLEObject Type="Embed" ProgID="Equation.DSMT4" ShapeID="_x0000_i1071" DrawAspect="Content" ObjectID="_1841744496" r:id="rId114"/>
        </w:object>
      </w:r>
    </w:p>
    <w:p w14:paraId="79030E21" w14:textId="0C53019E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sz w:val="28"/>
          <w:szCs w:val="28"/>
        </w:rPr>
        <w:t>Первое слагаемое представляет собой чисто резистивный вклад, второе получается из правила расчёта параллельного соединения сопротивления и ёмкости, третье отражает диффузионный отклик. Если считать диффузию полуограниченной, то классический импеданс Варбурга имеет вид</w:t>
      </w:r>
    </w:p>
    <w:p w14:paraId="4C759CEA" w14:textId="77777777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39C6FF" w14:textId="069EE031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420" w:dyaOrig="700" w14:anchorId="137DCC1A">
          <v:shape id="_x0000_i1072" type="#_x0000_t75" style="width:71.4pt;height:35.15pt" o:ole="">
            <v:imagedata r:id="rId115" o:title=""/>
          </v:shape>
          <o:OLEObject Type="Embed" ProgID="Equation.DSMT4" ShapeID="_x0000_i1072" DrawAspect="Content" ObjectID="_1841744497" r:id="rId116"/>
        </w:object>
      </w:r>
    </w:p>
    <w:p w14:paraId="33594DF9" w14:textId="041118F6" w:rsidR="007431E4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σ – </w:t>
      </w:r>
      <w:r w:rsidRPr="007431E4"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7098E8D7" w14:textId="7A5C795F" w:rsidR="004A5C3A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E4">
        <w:rPr>
          <w:rFonts w:ascii="Times New Roman" w:hAnsi="Times New Roman" w:cs="Times New Roman"/>
          <w:sz w:val="28"/>
          <w:szCs w:val="28"/>
        </w:rPr>
        <w:t>Происхождение этой формулы связано с решением второго закона Фика для гармонического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>возмущения концентрации на границе раздела.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 xml:space="preserve">В критических обзорах последних лет специально подчёркивается, что </w:t>
      </w:r>
      <w:r w:rsidRPr="007431E4">
        <w:rPr>
          <w:rFonts w:ascii="Times New Roman" w:hAnsi="Times New Roman" w:cs="Times New Roman"/>
          <w:sz w:val="28"/>
          <w:szCs w:val="28"/>
          <w:highlight w:val="yellow"/>
        </w:rPr>
        <w:t>использование Варбурга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требует осторожности: необходимо различать полуограниченную, конечнопространственную и конечнодлиновую диффузию, поскольку неправильный выбор диффузионной модели может привести к ошибочной физической интерпретации параметров.</w:t>
      </w:r>
    </w:p>
    <w:p w14:paraId="1F777920" w14:textId="719B21C7" w:rsidR="007431E4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>На высоких частотах вклад ёмкости и диффузии становится малым, поэтому спектр стремится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3A">
        <w:rPr>
          <w:rFonts w:ascii="Times New Roman" w:hAnsi="Times New Roman" w:cs="Times New Roman"/>
          <w:sz w:val="28"/>
          <w:szCs w:val="28"/>
        </w:rPr>
        <w:t xml:space="preserve">В среднечастотной области формируется полукруг, связанный с зарядопереносом и ёмкостью двойного слоя. В низкочастотной области начинает доминировать диффузионная составляющая. Именно это разбиение частотного спектра на зоны делает EIS особенно удобным методом: разные механизмы старения могут быть локализованы по частотной области. Современные обзоры по EIS для батарей подчёркивают, что эта частотная селективность является одним из главных преимуществ метода по сравнению с интегральными </w:t>
      </w:r>
      <w:r w:rsidRPr="00B33E3A">
        <w:rPr>
          <w:rFonts w:ascii="Times New Roman" w:hAnsi="Times New Roman" w:cs="Times New Roman"/>
          <w:sz w:val="28"/>
          <w:szCs w:val="28"/>
          <w:highlight w:val="yellow"/>
        </w:rPr>
        <w:t>DC-подходами.</w:t>
      </w:r>
    </w:p>
    <w:p w14:paraId="2EA505A5" w14:textId="72F064CA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lastRenderedPageBreak/>
        <w:t>Диаграмма Найквиста позволяет непосредственно увидеть омическую точку пересечения, полукруг зарядопереноса и низкочастотную диффузионную область. Поэтому именно она традиционно используется как первичный графический носитель EIS-информации в работах по аккумуляторной диагностике.</w:t>
      </w:r>
    </w:p>
    <w:p w14:paraId="133E01DA" w14:textId="77777777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90E9AB" w14:textId="027ED9C3" w:rsidR="00B33E3A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EF3E0B" wp14:editId="462A2307">
            <wp:extent cx="6119495" cy="5132705"/>
            <wp:effectExtent l="0" t="0" r="0" b="0"/>
            <wp:docPr id="11843360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13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4E303B36" w14:textId="5F71F413" w:rsidR="00156A70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4526">
        <w:rPr>
          <w:rFonts w:ascii="Times New Roman" w:hAnsi="Times New Roman" w:cs="Times New Roman"/>
          <w:sz w:val="28"/>
          <w:szCs w:val="28"/>
        </w:rPr>
        <w:t>Рисунок 1.12 — Диаграмма Найквиста опытной тяговой батареи</w:t>
      </w:r>
    </w:p>
    <w:p w14:paraId="77A92E59" w14:textId="77777777" w:rsidR="00094526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10D8E" w14:textId="762A1598" w:rsidR="00094526" w:rsidRPr="00206F49" w:rsidRDefault="00475DF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5DF7">
        <w:rPr>
          <w:rFonts w:ascii="Times New Roman" w:hAnsi="Times New Roman" w:cs="Times New Roman"/>
          <w:sz w:val="28"/>
          <w:szCs w:val="28"/>
        </w:rPr>
        <w:t>На рисунке показана типичная диаграмма Найквиста. Первая точка пересечения с осью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</w:t>
      </w:r>
      <w:r w:rsidRPr="00475D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475DF7">
        <w:rPr>
          <w:rFonts w:ascii="Times New Roman" w:hAnsi="Times New Roman" w:cs="Times New Roman"/>
          <w:sz w:val="28"/>
          <w:szCs w:val="28"/>
        </w:rPr>
        <w:t xml:space="preserve">) соответствует высокочастотному омическому сопротивлению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475DF7">
        <w:rPr>
          <w:rFonts w:ascii="Times New Roman" w:hAnsi="Times New Roman" w:cs="Times New Roman"/>
          <w:sz w:val="28"/>
          <w:szCs w:val="28"/>
        </w:rPr>
        <w:t xml:space="preserve">. Полукруг в средней частотной области отражает совместное </w:t>
      </w:r>
      <w:r w:rsidRPr="00475DF7">
        <w:rPr>
          <w:rFonts w:ascii="Times New Roman" w:hAnsi="Times New Roman" w:cs="Times New Roman"/>
          <w:sz w:val="28"/>
          <w:szCs w:val="28"/>
        </w:rPr>
        <w:lastRenderedPageBreak/>
        <w:t>действие сопротивления переноса заряда и ёмкости двойного электрического слоя. Наклонный участок на низких частотах соответствует диффузионной области и связан с ограничениями массопереноса.</w:t>
      </w:r>
    </w:p>
    <w:p w14:paraId="25CA024F" w14:textId="3A95503E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позволяет на одном графике локализовать основные физические механизмы, формирующие спектр аккумулятора. Практическая польза рисунка заключается в возможности визуальной и количественной оценки параметров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диффузионного вклада без проведения полного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ресурсного цикла</w:t>
      </w:r>
      <w:r w:rsidRPr="00573537">
        <w:rPr>
          <w:rFonts w:ascii="Times New Roman" w:hAnsi="Times New Roman" w:cs="Times New Roman"/>
          <w:sz w:val="28"/>
          <w:szCs w:val="28"/>
        </w:rPr>
        <w:t>.</w:t>
      </w:r>
    </w:p>
    <w:p w14:paraId="282855AE" w14:textId="39CBE5E9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Для более детального частотного анализа используется диаграмма Боде. Она особенно важна в тех случаях, когда необходимо выбрать ограниченный набор диагностических частот для экспресс-измерений. Современные исследования, включая работы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automotive EIS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573537">
        <w:rPr>
          <w:rFonts w:ascii="Times New Roman" w:hAnsi="Times New Roman" w:cs="Times New Roman"/>
          <w:sz w:val="28"/>
          <w:szCs w:val="28"/>
        </w:rPr>
        <w:t xml:space="preserve">, указывают, что именно анализ распределения информативности по частоте открывает путь к сокращённым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onboard- и near onboard-методам</w:t>
      </w:r>
      <w:r w:rsidRPr="00573537">
        <w:rPr>
          <w:rFonts w:ascii="Times New Roman" w:hAnsi="Times New Roman" w:cs="Times New Roman"/>
          <w:sz w:val="28"/>
          <w:szCs w:val="28"/>
        </w:rPr>
        <w:t xml:space="preserve">. При этом одной из центральных современных задач остаётся перенос EIS из стационарной лабораторной среды к динамическим режимам измерения. Обзор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electrochemical impedance spectroscopy</w:t>
      </w:r>
      <w:r w:rsidRPr="00573537">
        <w:rPr>
          <w:rFonts w:ascii="Times New Roman" w:hAnsi="Times New Roman" w:cs="Times New Roman"/>
          <w:sz w:val="28"/>
          <w:szCs w:val="28"/>
        </w:rPr>
        <w:t xml:space="preserve"> подчёркивает, что развитие DEIS непосредственно связано с задачами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state monitoring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быстрых диагностических оценок при меняющихся рабочих режимах.</w:t>
      </w:r>
    </w:p>
    <w:p w14:paraId="3866BD44" w14:textId="5F0D6AF7" w:rsidR="00573537" w:rsidRPr="00573537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>Диаграмма Боде позволяет разделить частотные области омического отклика, зарядопереноса и диффузии значительно более явно, чем диаграмма Найквиста. В задачах дальнейшей диссертации это особенно важно, поскольку именно по диаграмме Боде выбираются частоты для сокращённого диагностического протокола.</w:t>
      </w:r>
    </w:p>
    <w:p w14:paraId="37765797" w14:textId="77777777" w:rsidR="00D567B3" w:rsidRPr="00573537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D1F860" w14:textId="6A325144" w:rsidR="00D567B3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764881A" wp14:editId="4CF4D889">
            <wp:extent cx="6119495" cy="3902075"/>
            <wp:effectExtent l="0" t="0" r="0" b="3175"/>
            <wp:docPr id="20328378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90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9F98F" w14:textId="40A02C0A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448">
        <w:rPr>
          <w:rFonts w:ascii="Times New Roman" w:hAnsi="Times New Roman" w:cs="Times New Roman"/>
          <w:sz w:val="28"/>
          <w:szCs w:val="28"/>
        </w:rPr>
        <w:t>Рисунок 1.13 — Диаграмма Боде опытной тяговой батареи</w:t>
      </w:r>
    </w:p>
    <w:p w14:paraId="60EF89F7" w14:textId="77777777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5EBD83" w14:textId="54ADEC78" w:rsidR="00223448" w:rsidRPr="00206F49" w:rsidRDefault="002648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837">
        <w:rPr>
          <w:rFonts w:ascii="Times New Roman" w:hAnsi="Times New Roman" w:cs="Times New Roman"/>
          <w:sz w:val="28"/>
          <w:szCs w:val="28"/>
        </w:rPr>
        <w:t xml:space="preserve">На рисунке приведены зависимости модуля импеданса и фазового угла от частоты. В высокочастотной области модуль импеданса приближается к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64837">
        <w:rPr>
          <w:rFonts w:ascii="Times New Roman" w:hAnsi="Times New Roman" w:cs="Times New Roman"/>
          <w:sz w:val="28"/>
          <w:szCs w:val="28"/>
        </w:rPr>
        <w:t>, а фазовый угол близок к нулю, что соответствует преимущественно резистивному поведению. В среднечастотной зоне наблюдается выраженный фазовый сдвиг, связанный с межфазным переносом заряда и ёмкостью двойного слоя. В низкочастотной области модуль импеданса возрастает, а фазовый отклик смещается в сторону диффузионного режима.</w:t>
      </w:r>
    </w:p>
    <w:p w14:paraId="4480ED5E" w14:textId="50A168EA" w:rsidR="00264837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показывает частотную локализацию доминирующих процессов и тем самым создаёт основу для выделения информативных спектральных признаков. Практическая польза заключается в возможности выбора ограниченного набора частот для экспресс-диагностики батареи без необходимости полного широкополосного сканирования.</w:t>
      </w:r>
    </w:p>
    <w:p w14:paraId="4F868F15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6930E" w14:textId="7EF30851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Таблица 1.5 – Физическая интерпретация основных элементов EIS-спектра аккумуляторной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56EC4" w14:paraId="556ED999" w14:textId="77777777" w:rsidTr="00156EC4">
        <w:tc>
          <w:tcPr>
            <w:tcW w:w="2406" w:type="dxa"/>
          </w:tcPr>
          <w:p w14:paraId="0F6DD168" w14:textId="3B84D059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Частотная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область</w:t>
            </w:r>
          </w:p>
        </w:tc>
        <w:tc>
          <w:tcPr>
            <w:tcW w:w="2407" w:type="dxa"/>
          </w:tcPr>
          <w:p w14:paraId="0307391C" w14:textId="7F087B79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Доминирующий процесс</w:t>
            </w:r>
          </w:p>
        </w:tc>
        <w:tc>
          <w:tcPr>
            <w:tcW w:w="2407" w:type="dxa"/>
          </w:tcPr>
          <w:p w14:paraId="47268EBC" w14:textId="5CF9B322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Основной параметр</w:t>
            </w:r>
          </w:p>
        </w:tc>
        <w:tc>
          <w:tcPr>
            <w:tcW w:w="2407" w:type="dxa"/>
          </w:tcPr>
          <w:p w14:paraId="2D3E988B" w14:textId="7DE39D7B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Диагностическое значение</w:t>
            </w:r>
          </w:p>
        </w:tc>
      </w:tr>
      <w:tr w:rsidR="00156EC4" w:rsidRPr="00156EC4" w14:paraId="36B9EC87" w14:textId="77777777" w:rsidTr="00156EC4">
        <w:tc>
          <w:tcPr>
            <w:tcW w:w="2406" w:type="dxa"/>
          </w:tcPr>
          <w:p w14:paraId="189E98E7" w14:textId="6CF640EA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  <w:tc>
          <w:tcPr>
            <w:tcW w:w="2407" w:type="dxa"/>
          </w:tcPr>
          <w:p w14:paraId="175C92FD" w14:textId="38F8486B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Омическая проводимость токосъёмников, электролита и контактов</w:t>
            </w:r>
          </w:p>
        </w:tc>
        <w:tc>
          <w:tcPr>
            <w:tcW w:w="2407" w:type="dxa"/>
          </w:tcPr>
          <w:p w14:paraId="557FA8CF" w14:textId="18A8F15C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</w:tcPr>
          <w:p w14:paraId="1D7BF02F" w14:textId="330D312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Контроль контактных и электролитных потерь</w:t>
            </w:r>
          </w:p>
        </w:tc>
      </w:tr>
      <w:tr w:rsidR="00156EC4" w:rsidRPr="00156EC4" w14:paraId="60BA4B10" w14:textId="77777777" w:rsidTr="00156EC4">
        <w:tc>
          <w:tcPr>
            <w:tcW w:w="2406" w:type="dxa"/>
          </w:tcPr>
          <w:p w14:paraId="15B3CC64" w14:textId="737BECB8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2407" w:type="dxa"/>
          </w:tcPr>
          <w:p w14:paraId="2DB4C789" w14:textId="30015631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Перенос заряда через интерфейс электрод электролит</w:t>
            </w:r>
          </w:p>
        </w:tc>
        <w:tc>
          <w:tcPr>
            <w:tcW w:w="2407" w:type="dxa"/>
          </w:tcPr>
          <w:p w14:paraId="0B5796E2" w14:textId="0787E433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</w:p>
        </w:tc>
        <w:tc>
          <w:tcPr>
            <w:tcW w:w="2407" w:type="dxa"/>
          </w:tcPr>
          <w:p w14:paraId="3A4413D9" w14:textId="67D0DD8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чувствительная область для ранней деградации</w:t>
            </w:r>
          </w:p>
        </w:tc>
      </w:tr>
      <w:tr w:rsidR="00156EC4" w:rsidRPr="00156EC4" w14:paraId="18A39681" w14:textId="77777777" w:rsidTr="00156EC4">
        <w:tc>
          <w:tcPr>
            <w:tcW w:w="2406" w:type="dxa"/>
          </w:tcPr>
          <w:p w14:paraId="65DE9FD8" w14:textId="34839F7F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  <w:tc>
          <w:tcPr>
            <w:tcW w:w="2407" w:type="dxa"/>
          </w:tcPr>
          <w:p w14:paraId="28A7050D" w14:textId="2B357A15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Диффузионный перенос в твёрдой фазе и электролите</w:t>
            </w:r>
          </w:p>
        </w:tc>
        <w:tc>
          <w:tcPr>
            <w:tcW w:w="2407" w:type="dxa"/>
          </w:tcPr>
          <w:p w14:paraId="2A79868F" w14:textId="29F2A209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σ</w:t>
            </w:r>
          </w:p>
        </w:tc>
        <w:tc>
          <w:tcPr>
            <w:tcW w:w="2407" w:type="dxa"/>
          </w:tcPr>
          <w:p w14:paraId="132BF6B1" w14:textId="1D48FD29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Оценка ограничений массопереноса и глубинной деградации</w:t>
            </w:r>
          </w:p>
        </w:tc>
      </w:tr>
    </w:tbl>
    <w:p w14:paraId="7C613F6B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E7C5A1" w14:textId="74CBB667" w:rsidR="000C45A7" w:rsidRPr="00206F49" w:rsidRDefault="000C45A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45A7">
        <w:rPr>
          <w:rFonts w:ascii="Times New Roman" w:hAnsi="Times New Roman" w:cs="Times New Roman"/>
          <w:sz w:val="28"/>
          <w:szCs w:val="28"/>
        </w:rPr>
        <w:t xml:space="preserve">Следовательно, электрохимическая импедансная спектроскопия обладает двойной ценностью. С одной стороны, это физически интерпретируемый метод, позволяющий связать спектр с конкретными электрохимическими механизмами. С другой стороны, это инженерно перспективный диагностический инструмент, который при правильном выборе частот и корректной модели может быть адаптирован к задачам экспресс-оценки состояния и прогноза ресурса батареи. Современные обзоры подчёркивают, что именно развитие быстрого, </w:t>
      </w:r>
      <w:r w:rsidRPr="000C45A7">
        <w:rPr>
          <w:rFonts w:ascii="Times New Roman" w:hAnsi="Times New Roman" w:cs="Times New Roman"/>
          <w:sz w:val="28"/>
          <w:szCs w:val="28"/>
        </w:rPr>
        <w:lastRenderedPageBreak/>
        <w:t xml:space="preserve">динамического 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onboard-совместимого</w:t>
      </w:r>
      <w:r w:rsidRPr="000C45A7">
        <w:rPr>
          <w:rFonts w:ascii="Times New Roman" w:hAnsi="Times New Roman" w:cs="Times New Roman"/>
          <w:sz w:val="28"/>
          <w:szCs w:val="28"/>
        </w:rPr>
        <w:t xml:space="preserve"> EIS-подхода является одной из главных задач следующего этапа эволюции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battery diagnostics.</w:t>
      </w:r>
    </w:p>
    <w:p w14:paraId="2B968D07" w14:textId="511FE0A5" w:rsidR="000C45A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3D7">
        <w:rPr>
          <w:rFonts w:ascii="Times New Roman" w:hAnsi="Times New Roman" w:cs="Times New Roman"/>
          <w:sz w:val="28"/>
          <w:szCs w:val="28"/>
        </w:rPr>
        <w:t>Однако при всей высокой информативности EIS остаётся открытым вопрос о том, насколько существующие модели прогнозирования ресурса способны использовать импедансные признаки в реальных тяговых режимах. Поэтому следующим шагом необходимо рассмотреть современные подходы к прогнозированию остаточного ресурса аккумуляторных батарей и критически сопоставить их физическую обоснованность, инженерную реализуемость и устойчивость в условиях нестационарной эксплуатации.</w:t>
      </w:r>
    </w:p>
    <w:p w14:paraId="09A5EFB5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723663" w14:textId="73121ACE" w:rsidR="003843D7" w:rsidRPr="003843D7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843D7">
        <w:rPr>
          <w:rFonts w:ascii="Times New Roman" w:hAnsi="Times New Roman" w:cs="Times New Roman"/>
          <w:b/>
          <w:bCs/>
          <w:sz w:val="28"/>
          <w:szCs w:val="28"/>
        </w:rPr>
        <w:t>1.5 Анализ существующих моделей прогнозирования остаточного ресурса аккумуляторных батарей</w:t>
      </w:r>
    </w:p>
    <w:p w14:paraId="1EA7D60E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FBB298" w14:textId="353666F7" w:rsidR="00206F49" w:rsidRDefault="00206F4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6F49">
        <w:rPr>
          <w:rFonts w:ascii="Times New Roman" w:hAnsi="Times New Roman" w:cs="Times New Roman"/>
          <w:sz w:val="28"/>
          <w:szCs w:val="28"/>
        </w:rPr>
        <w:t xml:space="preserve">Прогнозирование остаточного ресурса аккумуляторных батарей в последние годы сформировалось как самостоятельное направление исследований на стыке электрохимии, теории надёжности, машинного обучения и систем управления батареями. Современные обзорные работы показывают, что литература по оценке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06F49">
        <w:rPr>
          <w:rFonts w:ascii="Times New Roman" w:hAnsi="Times New Roman" w:cs="Times New Roman"/>
          <w:sz w:val="28"/>
          <w:szCs w:val="28"/>
        </w:rPr>
        <w:t xml:space="preserve"> быстро растёт, а фокус постепенно смещается от единичных эмпирических моделей к физически информированным, гибридным и онлайн-ориентированным подходам. В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библиометрическом</w:t>
      </w:r>
      <w:r w:rsidRPr="00206F49">
        <w:rPr>
          <w:rFonts w:ascii="Times New Roman" w:hAnsi="Times New Roman" w:cs="Times New Roman"/>
          <w:sz w:val="28"/>
          <w:szCs w:val="28"/>
        </w:rPr>
        <w:t xml:space="preserve"> обзоре 2024 года основные направления были сгруппированы вокруг трёх тематических кластеров: механизмы старения, методы оценки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и методы прогнозирования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06F49">
        <w:rPr>
          <w:rFonts w:ascii="Times New Roman" w:hAnsi="Times New Roman" w:cs="Times New Roman"/>
          <w:sz w:val="28"/>
          <w:szCs w:val="28"/>
        </w:rPr>
        <w:t xml:space="preserve">одновременно подчёркивается растущая роль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online-estimation, hybrid models и artificial neural networks</w:t>
      </w:r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6EF8075D" w14:textId="4C123344" w:rsidR="00206F49" w:rsidRDefault="00596B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BA8">
        <w:rPr>
          <w:rFonts w:ascii="Times New Roman" w:hAnsi="Times New Roman" w:cs="Times New Roman"/>
          <w:sz w:val="28"/>
          <w:szCs w:val="28"/>
        </w:rPr>
        <w:t xml:space="preserve">Несмотря на широкий спектр публикаций, существующие модели прогнозирования ресурса можно свести к нескольким базовым классам: эмпирические модели, физико-химические модели, фильтрационные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observer-based подходы, data-driven модели</w:t>
      </w:r>
      <w:r w:rsidRPr="00596BA8">
        <w:rPr>
          <w:rFonts w:ascii="Times New Roman" w:hAnsi="Times New Roman" w:cs="Times New Roman"/>
          <w:sz w:val="28"/>
          <w:szCs w:val="28"/>
        </w:rPr>
        <w:t>, гибридные модели и импедансно-</w:t>
      </w:r>
      <w:r w:rsidRPr="00596BA8">
        <w:rPr>
          <w:rFonts w:ascii="Times New Roman" w:hAnsi="Times New Roman" w:cs="Times New Roman"/>
          <w:sz w:val="28"/>
          <w:szCs w:val="28"/>
        </w:rPr>
        <w:lastRenderedPageBreak/>
        <w:t xml:space="preserve">ориентированные прогностические схемы. Каждый из этих классов отражает определённую философию описания деградации. Эмпирические модели аппроксимируют траекторию старения по наблюдаемым данным. Физические модели исходят из механизмов деградации и стремятся описать их через уравнения электрохимии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тепломассопереноса</w:t>
      </w:r>
      <w:r w:rsidRPr="00596BA8">
        <w:rPr>
          <w:rFonts w:ascii="Times New Roman" w:hAnsi="Times New Roman" w:cs="Times New Roman"/>
          <w:sz w:val="28"/>
          <w:szCs w:val="28"/>
        </w:rPr>
        <w:t>. Фильтрационные методы используют динамические уравнения состояния и процедуры последовательного обновления оценки. Машинное обучение ориентируется на извлечение нелинейных закономерностей из данных. Гибридные методы объединяют физические и статистические компоненты. Наконец, импедансные модели используют спектральные признаки как информативные маркеры ранней деградации и, в наиболее сильной постановке, соединяют их с прогностической схемой оценки ресурса.</w:t>
      </w:r>
    </w:p>
    <w:p w14:paraId="17D8B18C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55DFC7" w14:textId="0022A766" w:rsidR="00112792" w:rsidRP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2792">
        <w:rPr>
          <w:rFonts w:ascii="Times New Roman" w:hAnsi="Times New Roman" w:cs="Times New Roman"/>
          <w:b/>
          <w:bCs/>
          <w:sz w:val="28"/>
          <w:szCs w:val="28"/>
        </w:rPr>
        <w:t>1.5.1. Эмпирические модели деградации</w:t>
      </w:r>
    </w:p>
    <w:p w14:paraId="179A1A83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7881E8" w14:textId="75BC4D6E" w:rsidR="00112792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Эмпирические модели строятся на предположении, что деградационная траектория батареи может быть аппроксимирована сравнительно простой функцией числа циклов, времени или накопленного заряда. Наиболее распространёнными являются линейные, корневые, экспоненциальные и полиномиальные формы. В простейшем варианте снижение ёмкости записывается как</w:t>
      </w:r>
    </w:p>
    <w:p w14:paraId="6C278C40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7A30B0" w14:textId="1F7053B3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4189">
        <w:rPr>
          <w:rFonts w:ascii="Times New Roman" w:hAnsi="Times New Roman" w:cs="Times New Roman"/>
          <w:position w:val="-12"/>
          <w:sz w:val="28"/>
          <w:szCs w:val="28"/>
        </w:rPr>
        <w:object w:dxaOrig="1600" w:dyaOrig="360" w14:anchorId="4304055F">
          <v:shape id="_x0000_i1073" type="#_x0000_t75" style="width:80.05pt;height:17.85pt" o:ole="">
            <v:imagedata r:id="rId119" o:title=""/>
          </v:shape>
          <o:OLEObject Type="Embed" ProgID="Equation.DSMT4" ShapeID="_x0000_i1073" DrawAspect="Content" ObjectID="_1841744498" r:id="rId120"/>
        </w:object>
      </w:r>
    </w:p>
    <w:p w14:paraId="05B2B5BB" w14:textId="77777777" w:rsidR="00084189" w:rsidRP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6E3269" w14:textId="3664669B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DBB5AD5" w14:textId="349DEA80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C4694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C469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начальная ёмкость,</w:t>
      </w:r>
    </w:p>
    <w:p w14:paraId="323B6252" w14:textId="3841E8BC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08418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эмпирический коэффициент деградации.</w:t>
      </w:r>
    </w:p>
    <w:p w14:paraId="7D7C9405" w14:textId="2A3DB544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lastRenderedPageBreak/>
        <w:t>Такая модель выводится не из фундаментального закона, а как линейная аппроксимация наблюдаемого тренда. Её преимущество — простота, однако физическая содержательность минимальна.</w:t>
      </w:r>
    </w:p>
    <w:p w14:paraId="796A453F" w14:textId="7F658278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Более содержательная форма связана с диффузионно-контролируемыми деградационными процессами и записывается как</w:t>
      </w:r>
    </w:p>
    <w:p w14:paraId="7183F01A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D24CB7" w14:textId="2F02EDE4" w:rsidR="00084189" w:rsidRP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4189">
        <w:rPr>
          <w:rFonts w:ascii="Times New Roman" w:hAnsi="Times New Roman" w:cs="Times New Roman"/>
          <w:position w:val="-12"/>
          <w:sz w:val="28"/>
          <w:szCs w:val="28"/>
        </w:rPr>
        <w:object w:dxaOrig="1820" w:dyaOrig="400" w14:anchorId="06687CCF">
          <v:shape id="_x0000_i1074" type="#_x0000_t75" style="width:91pt;height:19.6pt" o:ole="">
            <v:imagedata r:id="rId121" o:title=""/>
          </v:shape>
          <o:OLEObject Type="Embed" ProgID="Equation.DSMT4" ShapeID="_x0000_i1074" DrawAspect="Content" ObjectID="_1841744499" r:id="rId122"/>
        </w:object>
      </w:r>
    </w:p>
    <w:p w14:paraId="52B4DF5D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BDB71FF" w14:textId="3FD9C33F" w:rsidR="0008418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Эта зависимость обычно обосновывается через корневой закон роста межфазного сопротивления или толщины пассивирующего слоя, следующий из решения второго закона Фика в режиме полуограниченной диффузии. Тем не менее даже такая форма остаётся частной и не способна описывать весь жизненный цикл батареи, особенно переход к ускоренной стадии старения.</w:t>
      </w:r>
    </w:p>
    <w:p w14:paraId="65D696B1" w14:textId="601D2F39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В инженерной практике часто используются более гибкие зависимости вида</w:t>
      </w:r>
    </w:p>
    <w:p w14:paraId="4902C114" w14:textId="77777777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225C1" w14:textId="6E43B860" w:rsidR="00E90F79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90F79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2180" w:dyaOrig="380" w14:anchorId="4E3A6FCF">
          <v:shape id="_x0000_i1075" type="#_x0000_t75" style="width:108.85pt;height:19pt" o:ole="">
            <v:imagedata r:id="rId123" o:title=""/>
          </v:shape>
          <o:OLEObject Type="Embed" ProgID="Equation.DSMT4" ShapeID="_x0000_i1075" DrawAspect="Content" ObjectID="_1841744500" r:id="rId124"/>
        </w:object>
      </w:r>
    </w:p>
    <w:p w14:paraId="7555C430" w14:textId="77777777" w:rsidR="00E90F79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68151A" w14:textId="273E558B" w:rsidR="00E90F79" w:rsidRDefault="00E90F79" w:rsidP="009511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 xml:space="preserve">либо </w:t>
      </w:r>
      <w:r w:rsidRPr="00E90F79">
        <w:rPr>
          <w:rFonts w:ascii="Times New Roman" w:hAnsi="Times New Roman" w:cs="Times New Roman"/>
          <w:sz w:val="28"/>
          <w:szCs w:val="28"/>
          <w:highlight w:val="yellow"/>
        </w:rPr>
        <w:t>piecewise-модели</w:t>
      </w:r>
      <w:r w:rsidRPr="00E90F79">
        <w:rPr>
          <w:rFonts w:ascii="Times New Roman" w:hAnsi="Times New Roman" w:cs="Times New Roman"/>
          <w:sz w:val="28"/>
          <w:szCs w:val="28"/>
        </w:rPr>
        <w:t xml:space="preserve"> с различными коэффициентами на ранней, средней и поздней стадиях эксплуатации. Однако все эти подходы имеют общую слабость: они корректны лишь в диапазоне условий, на которых были идентифицированы. При изменении температуры, SOC-окна, токовых профилей или химической системы коэффициенты модели приходится перенастраивать. Именно поэтому эмпирические модели удобно использовать как baseline, но недостаточно — как основу физически содержательного прогноза.</w:t>
      </w:r>
    </w:p>
    <w:p w14:paraId="7209F97C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53FF9D" w14:textId="21170D8F" w:rsidR="00E90F79" w:rsidRP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0F79">
        <w:rPr>
          <w:rFonts w:ascii="Times New Roman" w:hAnsi="Times New Roman" w:cs="Times New Roman"/>
          <w:b/>
          <w:bCs/>
          <w:sz w:val="28"/>
          <w:szCs w:val="28"/>
        </w:rPr>
        <w:lastRenderedPageBreak/>
        <w:t>1.5.2 Физико-химические модели</w:t>
      </w:r>
    </w:p>
    <w:p w14:paraId="5BFA6A9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CA5A5C" w14:textId="4E126855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Физико-химические модели основаны на явном описании механизмов старения аккумулятора. В зависимости от уровня детализации они могут включать уравнения переноса заряда, диффузии, теплового баланса, роста межфазного слоя, потери активного лития, деградации активного материала и контактных эффектов. Их главное достоинство состоит в физической интерпретируемости: параметры модели связаны с реальными процессами внутри батареи.</w:t>
      </w:r>
    </w:p>
    <w:p w14:paraId="0DD30B49" w14:textId="7FE4B484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Типичным примером является описание деградации через рост межфазного сопротивления и снижение обменного тока. Если</w:t>
      </w:r>
    </w:p>
    <w:p w14:paraId="1CAA9236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FB1C71" w14:textId="4508DC2C" w:rsidR="00E90F79" w:rsidRP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51116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578AE739">
          <v:shape id="_x0000_i1076" type="#_x0000_t75" style="width:48.4pt;height:34pt" o:ole="">
            <v:imagedata r:id="rId125" o:title=""/>
          </v:shape>
          <o:OLEObject Type="Embed" ProgID="Equation.DSMT4" ShapeID="_x0000_i1076" DrawAspect="Content" ObjectID="_1841744501" r:id="rId126"/>
        </w:object>
      </w:r>
    </w:p>
    <w:p w14:paraId="3F2E8AD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8840A0" w14:textId="098CC2AB" w:rsidR="0068274B" w:rsidRDefault="0068274B" w:rsidP="005B6EA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274B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68274B">
        <w:rPr>
          <w:rFonts w:ascii="Times New Roman" w:hAnsi="Times New Roman" w:cs="Times New Roman"/>
          <w:sz w:val="28"/>
          <w:szCs w:val="28"/>
        </w:rPr>
        <w:t xml:space="preserve"> вследствие уменьшения эффективной активной поверхности или ухудшения интерфейса автоматически приводит к росту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8274B">
        <w:rPr>
          <w:rFonts w:ascii="Times New Roman" w:hAnsi="Times New Roman" w:cs="Times New Roman"/>
          <w:sz w:val="28"/>
          <w:szCs w:val="28"/>
        </w:rPr>
        <w:t>. В более общем виде скорость деградации можно представить как</w:t>
      </w:r>
    </w:p>
    <w:p w14:paraId="0B8712DE" w14:textId="77777777" w:rsid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EE6027" w14:textId="6C28D2DC" w:rsidR="0068274B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4480" w:dyaOrig="680" w14:anchorId="22DC900F">
          <v:shape id="_x0000_i1077" type="#_x0000_t75" style="width:224.05pt;height:34pt" o:ole="">
            <v:imagedata r:id="rId127" o:title=""/>
          </v:shape>
          <o:OLEObject Type="Embed" ProgID="Equation.DSMT4" ShapeID="_x0000_i1077" DrawAspect="Content" ObjectID="_1841744502" r:id="rId128"/>
        </w:object>
      </w:r>
    </w:p>
    <w:p w14:paraId="1A2BDA86" w14:textId="77777777" w:rsid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B1D9B9" w14:textId="262D3474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5B6EA7">
        <w:rPr>
          <w:rFonts w:ascii="Times New Roman" w:hAnsi="Times New Roman" w:cs="Times New Roman"/>
          <w:sz w:val="28"/>
          <w:szCs w:val="28"/>
        </w:rPr>
        <w:t>первое слагаемое описывает термоактивируемый вклад по Аррениусу, а второе — режимно-индуцированную деградацию.</w:t>
      </w:r>
    </w:p>
    <w:p w14:paraId="35AE0FE4" w14:textId="6843D0B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 xml:space="preserve">Преимущество физических моделей в том, что они потенциально обладают лучшей переносимостью между эксплуатационными режимами и могут использоваться для сценарного анализа. Однако их слабость заключается в </w:t>
      </w:r>
      <w:r w:rsidRPr="005B6EA7">
        <w:rPr>
          <w:rFonts w:ascii="Times New Roman" w:hAnsi="Times New Roman" w:cs="Times New Roman"/>
          <w:sz w:val="28"/>
          <w:szCs w:val="28"/>
        </w:rPr>
        <w:lastRenderedPageBreak/>
        <w:t>сложности параметризации. Для реального батарейного модуля тягового применения требуется идентификация множества коэффициентов, далеко не все из которых доступны 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sz w:val="28"/>
          <w:szCs w:val="28"/>
        </w:rPr>
        <w:t>стандартных эксплуатационных измерений. Кроме того, детальные модели электрохимического уровня оказываются вычислительно тяжёлыми для прямого использования в BMS.</w:t>
      </w:r>
    </w:p>
    <w:p w14:paraId="3C6AD2E1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57484" w14:textId="1DFCC0E8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1.5.3 Фильтрационные и </w:t>
      </w:r>
      <w:r w:rsidRPr="005B6EA7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observer-based</w:t>
      </w: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 методы</w:t>
      </w:r>
    </w:p>
    <w:p w14:paraId="1F7E6BF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16B5B5" w14:textId="5A52837A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 xml:space="preserve">Отдельную группу составляют методы, использующие фильтр Калмана, частицные фильтры, </w:t>
      </w:r>
      <w:r w:rsidRPr="005B6EA7">
        <w:rPr>
          <w:rFonts w:ascii="Times New Roman" w:hAnsi="Times New Roman" w:cs="Times New Roman"/>
          <w:sz w:val="28"/>
          <w:szCs w:val="28"/>
          <w:highlight w:val="yellow"/>
        </w:rPr>
        <w:t>dual observers, sliding-mode</w:t>
      </w:r>
      <w:r w:rsidRPr="005B6EA7">
        <w:rPr>
          <w:rFonts w:ascii="Times New Roman" w:hAnsi="Times New Roman" w:cs="Times New Roman"/>
          <w:sz w:val="28"/>
          <w:szCs w:val="28"/>
        </w:rPr>
        <w:t xml:space="preserve"> и другие схемы последовательного оценивания состояния. Общая идея этих методов заключается в том, что батарея представляется динамической системой состояния:</w:t>
      </w:r>
    </w:p>
    <w:p w14:paraId="5DEBC15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4EC70B" w14:textId="5CAC5158" w:rsidR="005B6EA7" w:rsidRPr="00EC4694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position w:val="-14"/>
          <w:sz w:val="28"/>
          <w:szCs w:val="28"/>
        </w:rPr>
        <w:object w:dxaOrig="2020" w:dyaOrig="400" w14:anchorId="10DC2640">
          <v:shape id="_x0000_i1078" type="#_x0000_t75" style="width:101.4pt;height:19.6pt" o:ole="">
            <v:imagedata r:id="rId129" o:title=""/>
          </v:shape>
          <o:OLEObject Type="Embed" ProgID="Equation.DSMT4" ShapeID="_x0000_i1078" DrawAspect="Content" ObjectID="_1841744503" r:id="rId130"/>
        </w:objec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5B6EA7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500" w:dyaOrig="400" w14:anchorId="1EE242FB">
          <v:shape id="_x0000_i1079" type="#_x0000_t75" style="width:74.3pt;height:19.6pt" o:ole="">
            <v:imagedata r:id="rId131" o:title=""/>
          </v:shape>
          <o:OLEObject Type="Embed" ProgID="Equation.DSMT4" ShapeID="_x0000_i1079" DrawAspect="Content" ObjectID="_1841744504" r:id="rId132"/>
        </w:object>
      </w:r>
      <w:r w:rsidRPr="00EC4694">
        <w:rPr>
          <w:rFonts w:ascii="Times New Roman" w:hAnsi="Times New Roman" w:cs="Times New Roman"/>
          <w:sz w:val="28"/>
          <w:szCs w:val="28"/>
        </w:rPr>
        <w:t>,</w:t>
      </w:r>
    </w:p>
    <w:p w14:paraId="23A12F85" w14:textId="77777777" w:rsidR="005B6EA7" w:rsidRPr="00EC4694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29112D" w14:textId="6C451A80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241B04E0" w14:textId="452837BB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вектор скрытых состояний,</w:t>
      </w:r>
    </w:p>
    <w:p w14:paraId="45D65C51" w14:textId="49C69DB1" w:rsidR="005B6EA7" w:rsidRPr="005B6EA7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входные воздействия</w:t>
      </w:r>
      <w:r w:rsidRPr="005B6EA7">
        <w:rPr>
          <w:rFonts w:ascii="Times New Roman" w:hAnsi="Times New Roman" w:cs="Times New Roman"/>
          <w:sz w:val="28"/>
          <w:szCs w:val="28"/>
        </w:rPr>
        <w:t>,</w:t>
      </w:r>
    </w:p>
    <w:p w14:paraId="3B34F1B9" w14:textId="0B51DF06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y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измерения</w:t>
      </w:r>
      <w:r w:rsidRPr="00DF4BFB">
        <w:rPr>
          <w:rFonts w:ascii="Times New Roman" w:hAnsi="Times New Roman" w:cs="Times New Roman"/>
          <w:sz w:val="28"/>
          <w:szCs w:val="28"/>
        </w:rPr>
        <w:t>,</w:t>
      </w:r>
    </w:p>
    <w:p w14:paraId="4FCE67AE" w14:textId="575720A6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процессы и шумы наблюдения.</w:t>
      </w:r>
    </w:p>
    <w:p w14:paraId="64B97E73" w14:textId="690A6A2A" w:rsidR="005B6EA7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Если в вектор состояния включить не только </w:t>
      </w:r>
      <w:r w:rsidRPr="00681A9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81A90">
        <w:rPr>
          <w:rFonts w:ascii="Times New Roman" w:hAnsi="Times New Roman" w:cs="Times New Roman"/>
          <w:sz w:val="28"/>
          <w:szCs w:val="28"/>
        </w:rPr>
        <w:t>, но и параметры деградации или коэффициенты эквивалентной схемы, то такие методы позволяют в онлайн-режиме обновлять оценку состояния батареи.</w:t>
      </w:r>
    </w:p>
    <w:p w14:paraId="06820D81" w14:textId="491404EC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Преимущество данного класса моделей состоит в хорошей совместимости с BMS и высокой алгоритмической отработанности. Недостаток заключается в </w:t>
      </w:r>
      <w:r w:rsidRPr="00681A90">
        <w:rPr>
          <w:rFonts w:ascii="Times New Roman" w:hAnsi="Times New Roman" w:cs="Times New Roman"/>
          <w:sz w:val="28"/>
          <w:szCs w:val="28"/>
        </w:rPr>
        <w:lastRenderedPageBreak/>
        <w:t xml:space="preserve">сильной зависимости качества оценки от корректности базовой модели состояния. Если </w:t>
      </w:r>
      <w:r w:rsidRPr="00681A90">
        <w:rPr>
          <w:rFonts w:ascii="Times New Roman" w:hAnsi="Times New Roman" w:cs="Times New Roman"/>
          <w:sz w:val="28"/>
          <w:szCs w:val="28"/>
          <w:highlight w:val="yellow"/>
        </w:rPr>
        <w:t>underlying</w:t>
      </w:r>
      <w:r w:rsidRPr="00681A90">
        <w:rPr>
          <w:rFonts w:ascii="Times New Roman" w:hAnsi="Times New Roman" w:cs="Times New Roman"/>
          <w:sz w:val="28"/>
          <w:szCs w:val="28"/>
        </w:rPr>
        <w:t xml:space="preserve"> модель недостаточно адекватна, фильтрационная схема не устраняет эту ошибку, а лишь рекурсивно распространяет её.</w:t>
      </w:r>
    </w:p>
    <w:p w14:paraId="0FC3A808" w14:textId="77777777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46202" w14:textId="1A93850D" w:rsidR="00681A90" w:rsidRP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57E9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1.5.4 Data-driven </w:t>
      </w:r>
      <w:r w:rsidRPr="00357E99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357E9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deep learning </w:t>
      </w:r>
      <w:r w:rsidRPr="00357E99">
        <w:rPr>
          <w:rFonts w:ascii="Times New Roman" w:hAnsi="Times New Roman" w:cs="Times New Roman"/>
          <w:b/>
          <w:bCs/>
          <w:sz w:val="28"/>
          <w:szCs w:val="28"/>
        </w:rPr>
        <w:t>модели</w:t>
      </w:r>
    </w:p>
    <w:p w14:paraId="39CB72AF" w14:textId="77777777" w:rsidR="00681A90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C67AE2" w14:textId="4E778CFA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7E99">
        <w:rPr>
          <w:rFonts w:ascii="Times New Roman" w:hAnsi="Times New Roman" w:cs="Times New Roman"/>
          <w:sz w:val="28"/>
          <w:szCs w:val="28"/>
        </w:rPr>
        <w:t xml:space="preserve">Модели машинного обучения и глубокого обучения в последние годы получили особенно широкое распространение. Обзоры 2024–2025 годов указывают, что именно </w:t>
      </w:r>
      <w:r w:rsidRPr="00357E99">
        <w:rPr>
          <w:rFonts w:ascii="Times New Roman" w:hAnsi="Times New Roman" w:cs="Times New Roman"/>
          <w:sz w:val="28"/>
          <w:szCs w:val="28"/>
          <w:highlight w:val="yellow"/>
        </w:rPr>
        <w:t>artificial intelligence strategies, online estimation и hybrid approaches</w:t>
      </w:r>
      <w:r w:rsidRPr="00357E99">
        <w:rPr>
          <w:rFonts w:ascii="Times New Roman" w:hAnsi="Times New Roman" w:cs="Times New Roman"/>
          <w:sz w:val="28"/>
          <w:szCs w:val="28"/>
        </w:rPr>
        <w:t xml:space="preserve"> формируют один из основных фронтов 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57E99">
        <w:rPr>
          <w:rFonts w:ascii="Times New Roman" w:hAnsi="Times New Roman" w:cs="Times New Roman"/>
          <w:i/>
          <w:iCs/>
          <w:sz w:val="28"/>
          <w:szCs w:val="28"/>
        </w:rPr>
        <w:t>/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-оценки. </w:t>
      </w:r>
      <w:r w:rsidRPr="00357E99">
        <w:rPr>
          <w:rFonts w:ascii="Times New Roman" w:hAnsi="Times New Roman" w:cs="Times New Roman"/>
          <w:sz w:val="28"/>
          <w:szCs w:val="28"/>
        </w:rPr>
        <w:t>В типичном случае строится отображение</w:t>
      </w:r>
    </w:p>
    <w:p w14:paraId="3A08ADE4" w14:textId="77777777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87FA6" w14:textId="273DCEAC" w:rsidR="00357E99" w:rsidRPr="003451A7" w:rsidRDefault="003451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451A7">
        <w:rPr>
          <w:rFonts w:ascii="Times New Roman" w:hAnsi="Times New Roman" w:cs="Times New Roman"/>
          <w:position w:val="-14"/>
          <w:sz w:val="28"/>
          <w:szCs w:val="28"/>
        </w:rPr>
        <w:object w:dxaOrig="3300" w:dyaOrig="400" w14:anchorId="6CA6F6A7">
          <v:shape id="_x0000_i1080" type="#_x0000_t75" style="width:165.3pt;height:19.6pt" o:ole="">
            <v:imagedata r:id="rId133" o:title=""/>
          </v:shape>
          <o:OLEObject Type="Embed" ProgID="Equation.DSMT4" ShapeID="_x0000_i1080" DrawAspect="Content" ObjectID="_1841744505" r:id="rId134"/>
        </w:object>
      </w:r>
    </w:p>
    <w:p w14:paraId="496CBE19" w14:textId="77777777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4864CB" w14:textId="36222E01" w:rsidR="003451A7" w:rsidRPr="00EC4694" w:rsidRDefault="003451A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3451A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451A7">
        <w:rPr>
          <w:rFonts w:ascii="Times New Roman" w:hAnsi="Times New Roman" w:cs="Times New Roman"/>
          <w:sz w:val="28"/>
          <w:szCs w:val="28"/>
        </w:rPr>
        <w:t>) – вектор признаков, извлечённых из напряжения, тока, температуры, зарядных кривых или спектральных данных.</w:t>
      </w:r>
    </w:p>
    <w:p w14:paraId="6AB69F17" w14:textId="404F83E9" w:rsidR="003451A7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К преимуществам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4C5D10">
        <w:rPr>
          <w:rFonts w:ascii="Times New Roman" w:hAnsi="Times New Roman" w:cs="Times New Roman"/>
          <w:sz w:val="28"/>
          <w:szCs w:val="28"/>
        </w:rPr>
        <w:t xml:space="preserve"> подходов относится высокая гибкость и способность описывать сложные нелинейные зависимости. Однако эти модели чрезвычайно чувствительны к объёму и качеству обучающей выборки, к смещению распределения между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train и deployment, а также к representativeness</w:t>
      </w:r>
      <w:r w:rsidRPr="004C5D10">
        <w:rPr>
          <w:rFonts w:ascii="Times New Roman" w:hAnsi="Times New Roman" w:cs="Times New Roman"/>
          <w:sz w:val="28"/>
          <w:szCs w:val="28"/>
        </w:rPr>
        <w:t xml:space="preserve"> используемых признаков. При этом интерпретируемость их решений часто остаётся ограниченной.</w:t>
      </w:r>
    </w:p>
    <w:p w14:paraId="1A4AA4C7" w14:textId="55BD0AB4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Особый интерес представляют современные EIS-ориентированные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4C5D10">
        <w:rPr>
          <w:rFonts w:ascii="Times New Roman" w:hAnsi="Times New Roman" w:cs="Times New Roman"/>
          <w:sz w:val="28"/>
          <w:szCs w:val="28"/>
        </w:rPr>
        <w:t xml:space="preserve"> модели. Так, в работе 2024 года предложен метод раннего прогноза ресурса, основанный на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geometric health factors</w:t>
      </w:r>
      <w:r w:rsidRPr="004C5D10">
        <w:rPr>
          <w:rFonts w:ascii="Times New Roman" w:hAnsi="Times New Roman" w:cs="Times New Roman"/>
          <w:sz w:val="28"/>
          <w:szCs w:val="28"/>
        </w:rPr>
        <w:t xml:space="preserve">, извлечённых из средне- и низкочастотной части спектра Найквиста. Авторы показали, что такие признаки могут использоваться в гибридной линейно-регрессионной и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ensemble-learning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sz w:val="28"/>
          <w:szCs w:val="28"/>
        </w:rPr>
        <w:lastRenderedPageBreak/>
        <w:t xml:space="preserve">схеме для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early-stage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Cs/>
          <w:sz w:val="28"/>
          <w:szCs w:val="28"/>
          <w:highlight w:val="yellow"/>
        </w:rPr>
        <w:t>prediction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и обладают хорошей обобщающей способностью в различных режимах. Этот результат особенно важен для настоящей диссертации, поскольку он подтверждает фундаментальную реализуемость идеи «импедансные признаки → прогноз ресурса», но при этом оставляет открытым вопрос о физической унификации таких признаков для разных химических систем и режимов эксплуатации.</w:t>
      </w:r>
    </w:p>
    <w:p w14:paraId="3A3DE3A4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4BDE47E4" w14:textId="45D17DF2" w:rsidR="004C5D10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B13293">
        <w:rPr>
          <w:rFonts w:ascii="Times New Roman" w:hAnsi="Times New Roman" w:cs="Times New Roman"/>
          <w:b/>
          <w:bCs/>
          <w:iCs/>
          <w:sz w:val="28"/>
          <w:szCs w:val="28"/>
        </w:rPr>
        <w:t>1.5.5 Гибридные модели</w:t>
      </w:r>
    </w:p>
    <w:p w14:paraId="1B08A1B1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53CFB7" w14:textId="0598BBA3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B13293">
        <w:rPr>
          <w:rFonts w:ascii="Times New Roman" w:hAnsi="Times New Roman" w:cs="Times New Roman"/>
          <w:sz w:val="28"/>
          <w:szCs w:val="28"/>
        </w:rPr>
        <w:t xml:space="preserve"> 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53D51F8C" w14:textId="2911FED5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«чёрный ящик» по сырым эксплуатационным данным, а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прогнозатор</w:t>
      </w:r>
      <w:r w:rsidRPr="00B13293">
        <w:rPr>
          <w:rFonts w:ascii="Times New Roman" w:hAnsi="Times New Roman" w:cs="Times New Roman"/>
          <w:sz w:val="28"/>
          <w:szCs w:val="28"/>
        </w:rPr>
        <w:t>, в котором входной вектор уже связан с межфазной кинетикой, диффузией и омическими потерями.</w:t>
      </w:r>
    </w:p>
    <w:p w14:paraId="5090CF4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115598" w14:textId="553AF01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13293">
        <w:rPr>
          <w:rFonts w:ascii="Times New Roman" w:hAnsi="Times New Roman" w:cs="Times New Roman"/>
          <w:b/>
          <w:bCs/>
          <w:sz w:val="28"/>
          <w:szCs w:val="28"/>
        </w:rPr>
        <w:t>1.5.6 Импедансные модели прогноза ресурса</w:t>
      </w:r>
    </w:p>
    <w:p w14:paraId="4904397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D70E81" w14:textId="6B336473" w:rsidR="00B13293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05C0">
        <w:rPr>
          <w:rFonts w:ascii="Times New Roman" w:hAnsi="Times New Roman" w:cs="Times New Roman"/>
          <w:sz w:val="28"/>
          <w:szCs w:val="28"/>
        </w:rPr>
        <w:lastRenderedPageBreak/>
        <w:t xml:space="preserve">Гибридные модели формируются как ответ на ограничения как чисто физических, так и чисто </w:t>
      </w:r>
      <w:r w:rsidRPr="00A805C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A805C0">
        <w:rPr>
          <w:rFonts w:ascii="Times New Roman" w:hAnsi="Times New Roman" w:cs="Times New Roman"/>
          <w:sz w:val="28"/>
          <w:szCs w:val="28"/>
        </w:rPr>
        <w:t xml:space="preserve"> 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6FDD3CC0" w14:textId="306356B4" w:rsidR="00A805C0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  <w:highlight w:val="yellow"/>
        </w:rPr>
        <w:t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«чёрный ящик» по сырым эксплуатационным данным, а прогнозатор, в котором входной вектор уже связан с межфазной кинетикой, диффузией и омическими потерями.</w:t>
      </w:r>
    </w:p>
    <w:p w14:paraId="7B96AA7E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3FFEEB" w14:textId="634BE84E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04FB">
        <w:rPr>
          <w:rFonts w:ascii="Times New Roman" w:hAnsi="Times New Roman" w:cs="Times New Roman"/>
          <w:b/>
          <w:bCs/>
          <w:sz w:val="28"/>
          <w:szCs w:val="28"/>
        </w:rPr>
        <w:t>1.5.6 Импедансные модели прогноза ресурса</w:t>
      </w:r>
    </w:p>
    <w:p w14:paraId="625C9E35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430181" w14:textId="5EED6C41" w:rsidR="005004FB" w:rsidRPr="005004FB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</w:rPr>
        <w:t xml:space="preserve">Импедансно-ориентированные модели представляют наибольший интерес для рассматриваемой диссертационной задачи. Обзор 2024 года по EIS как диагностическому и прогностическому инструменту для EV-батарей подчёркивает, что EIS даёт более глубокую информацию, чем простые измерения напряжения или тока, поскольку позволяет в реальном времени оценивать процессы, происходящие внутри батареи на разных временных масштабах. В обзоре также отдельно отмечается, что EIS способна выявлять деградацию на ранних стадиях без повреждения батареи и может использоваться как </w:t>
      </w:r>
      <w:r w:rsidRPr="005004FB">
        <w:rPr>
          <w:rFonts w:ascii="Times New Roman" w:hAnsi="Times New Roman" w:cs="Times New Roman"/>
          <w:sz w:val="28"/>
          <w:szCs w:val="28"/>
          <w:highlight w:val="yellow"/>
        </w:rPr>
        <w:t>ex situ, так и in situ</w:t>
      </w:r>
      <w:r w:rsidRPr="005004FB">
        <w:rPr>
          <w:rFonts w:ascii="Times New Roman" w:hAnsi="Times New Roman" w:cs="Times New Roman"/>
          <w:sz w:val="28"/>
          <w:szCs w:val="28"/>
        </w:rPr>
        <w:t>.</w:t>
      </w:r>
    </w:p>
    <w:p w14:paraId="454A46F5" w14:textId="0A271E8A" w:rsidR="005004FB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>В простейшем импедансно-прогностическом приближении остаточный ресурс может быть записан через сопротивление переноса заряда:</w:t>
      </w:r>
    </w:p>
    <w:p w14:paraId="3F8EDD3F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9B3A63" w14:textId="183332B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060" w:dyaOrig="700" w14:anchorId="2DE86081">
          <v:shape id="_x0000_i1081" type="#_x0000_t75" style="width:103.1pt;height:35.15pt" o:ole="">
            <v:imagedata r:id="rId135" o:title=""/>
          </v:shape>
          <o:OLEObject Type="Embed" ProgID="Equation.DSMT4" ShapeID="_x0000_i1081" DrawAspect="Content" ObjectID="_1841744506" r:id="rId136"/>
        </w:objec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2F26B8B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9E6B6B" w14:textId="309B2630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Эта формула следует из локально-линейной деградационной модели для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932DD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Если рост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нелинеен, используется интегральная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форма</w:t>
      </w:r>
    </w:p>
    <w:p w14:paraId="43EDACDC" w14:textId="77777777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EC8391" w14:textId="69C47122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2BBBA23E">
          <v:shape id="_x0000_i1082" type="#_x0000_t75" style="width:107.15pt;height:34pt" o:ole="">
            <v:imagedata r:id="rId137" o:title=""/>
          </v:shape>
          <o:OLEObject Type="Embed" ProgID="Equation.DSMT4" ShapeID="_x0000_i1082" DrawAspect="Content" ObjectID="_1841744507" r:id="rId138"/>
        </w:objec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6A63630B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F4A104" w14:textId="72CD6C91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Достоинство такого подхода состоит в том, что он опирается на параметр, имеющий ясную физическую интерпретацию. Недостаток — в необходимости устойчивой и быстрой идентификации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sz w:val="28"/>
          <w:szCs w:val="28"/>
        </w:rPr>
        <w:t xml:space="preserve">, а также в корректном учёте влияния температуры,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932DD5">
        <w:rPr>
          <w:rFonts w:ascii="Times New Roman" w:hAnsi="Times New Roman" w:cs="Times New Roman"/>
          <w:sz w:val="28"/>
          <w:szCs w:val="28"/>
        </w:rPr>
        <w:t xml:space="preserve"> и химической системы на саму траекторию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7AF5AF85" w14:textId="5FBC5B9A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>Именно здесь и проходит граница между существующими работами и задачей настоящей диссертации. Современные публикации подтверждают потенциал EIS для раннего прогноза ресурса, но в большинстве случаев либо ограничиваются одной химической системой, либо строятся на стационарных лабораторных спектрах, либо используют спектральные признаки без полного включения их в инженерную модель BMS. Следовательно, проблема не в отсутствии доказательств полезности EIS, а в отсутствии универсальной и математически строгой диагностико-прогностической схемы для нестационарных тяговых режимов.</w:t>
      </w:r>
    </w:p>
    <w:p w14:paraId="709D017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BB079" w14:textId="2C2E0077" w:rsidR="00932DD5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21FE">
        <w:rPr>
          <w:rFonts w:ascii="Times New Roman" w:hAnsi="Times New Roman" w:cs="Times New Roman"/>
          <w:sz w:val="28"/>
          <w:szCs w:val="28"/>
        </w:rPr>
        <w:t>Таблица 1.6 – Сравнительная характеристика основных классов моделей прогнозирования остаточного ресурса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87"/>
        <w:gridCol w:w="2289"/>
        <w:gridCol w:w="2586"/>
        <w:gridCol w:w="2565"/>
      </w:tblGrid>
      <w:tr w:rsidR="00BD58F0" w14:paraId="4ADE79A3" w14:textId="77777777" w:rsidTr="00BD58F0">
        <w:tc>
          <w:tcPr>
            <w:tcW w:w="2187" w:type="dxa"/>
          </w:tcPr>
          <w:p w14:paraId="3BB8ABC1" w14:textId="7AB2FF9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Класс моделей</w:t>
            </w:r>
          </w:p>
        </w:tc>
        <w:tc>
          <w:tcPr>
            <w:tcW w:w="2289" w:type="dxa"/>
          </w:tcPr>
          <w:p w14:paraId="36A1CF39" w14:textId="23F51D9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Основная идея</w:t>
            </w:r>
          </w:p>
        </w:tc>
        <w:tc>
          <w:tcPr>
            <w:tcW w:w="2586" w:type="dxa"/>
          </w:tcPr>
          <w:p w14:paraId="78979BD0" w14:textId="3A22B9D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Сильные стороны</w:t>
            </w:r>
          </w:p>
        </w:tc>
        <w:tc>
          <w:tcPr>
            <w:tcW w:w="2565" w:type="dxa"/>
          </w:tcPr>
          <w:p w14:paraId="6B418028" w14:textId="027FD55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Основные ограничения</w:t>
            </w:r>
          </w:p>
        </w:tc>
      </w:tr>
      <w:tr w:rsidR="00BD58F0" w14:paraId="3DA86AC8" w14:textId="77777777" w:rsidTr="00BD58F0">
        <w:tc>
          <w:tcPr>
            <w:tcW w:w="2187" w:type="dxa"/>
          </w:tcPr>
          <w:p w14:paraId="53ED4CD6" w14:textId="34B633C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Эмпирические</w:t>
            </w:r>
          </w:p>
        </w:tc>
        <w:tc>
          <w:tcPr>
            <w:tcW w:w="2289" w:type="dxa"/>
          </w:tcPr>
          <w:p w14:paraId="51A999CA" w14:textId="5B16B32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Аппроксимация траектории деградации</w:t>
            </w:r>
          </w:p>
        </w:tc>
        <w:tc>
          <w:tcPr>
            <w:tcW w:w="2586" w:type="dxa"/>
          </w:tcPr>
          <w:p w14:paraId="727DB15F" w14:textId="2A2EC6D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Простота, малая вычислительная нагрузка</w:t>
            </w:r>
          </w:p>
        </w:tc>
        <w:tc>
          <w:tcPr>
            <w:tcW w:w="2565" w:type="dxa"/>
          </w:tcPr>
          <w:p w14:paraId="5B0A854B" w14:textId="0F7A23D4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Слабая переносимость между режимами</w:t>
            </w:r>
          </w:p>
        </w:tc>
      </w:tr>
      <w:tr w:rsidR="00BD58F0" w14:paraId="23C31E31" w14:textId="77777777" w:rsidTr="00BD58F0">
        <w:tc>
          <w:tcPr>
            <w:tcW w:w="2187" w:type="dxa"/>
          </w:tcPr>
          <w:p w14:paraId="01156103" w14:textId="062E6EF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Физико химические</w:t>
            </w:r>
          </w:p>
        </w:tc>
        <w:tc>
          <w:tcPr>
            <w:tcW w:w="2289" w:type="dxa"/>
          </w:tcPr>
          <w:p w14:paraId="2C376836" w14:textId="53A3D4F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Явное описание механизмов старения</w:t>
            </w:r>
          </w:p>
        </w:tc>
        <w:tc>
          <w:tcPr>
            <w:tcW w:w="2586" w:type="dxa"/>
          </w:tcPr>
          <w:p w14:paraId="64A5BB54" w14:textId="6BD8028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Высокая интерпретируемость</w:t>
            </w:r>
          </w:p>
        </w:tc>
        <w:tc>
          <w:tcPr>
            <w:tcW w:w="2565" w:type="dxa"/>
          </w:tcPr>
          <w:p w14:paraId="45107772" w14:textId="2E4FAAD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Сложная параметризация, вычислительная тяжесть</w:t>
            </w:r>
          </w:p>
        </w:tc>
      </w:tr>
      <w:tr w:rsidR="00BD58F0" w:rsidRPr="00BD58F0" w14:paraId="7CF29B1C" w14:textId="77777777" w:rsidTr="00BD58F0">
        <w:tc>
          <w:tcPr>
            <w:tcW w:w="2187" w:type="dxa"/>
          </w:tcPr>
          <w:p w14:paraId="0F6A061C" w14:textId="45EF9DC5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Фильтрационные / observer</w:t>
            </w:r>
          </w:p>
        </w:tc>
        <w:tc>
          <w:tcPr>
            <w:tcW w:w="2289" w:type="dxa"/>
          </w:tcPr>
          <w:p w14:paraId="71791E82" w14:textId="42CBAD3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Последовательная online оценка скрытых состояний</w:t>
            </w:r>
          </w:p>
        </w:tc>
        <w:tc>
          <w:tcPr>
            <w:tcW w:w="2586" w:type="dxa"/>
          </w:tcPr>
          <w:p w14:paraId="4E946639" w14:textId="0117DC8A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Хорошая совместимость с BMS</w:t>
            </w:r>
          </w:p>
        </w:tc>
        <w:tc>
          <w:tcPr>
            <w:tcW w:w="2565" w:type="dxa"/>
          </w:tcPr>
          <w:p w14:paraId="2E22826F" w14:textId="15948D6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Сильная зависимость от базовой модели</w:t>
            </w:r>
          </w:p>
        </w:tc>
      </w:tr>
      <w:tr w:rsidR="00BD58F0" w:rsidRPr="00BD58F0" w14:paraId="30EBE12A" w14:textId="77777777" w:rsidTr="00BD58F0">
        <w:tc>
          <w:tcPr>
            <w:tcW w:w="2187" w:type="dxa"/>
          </w:tcPr>
          <w:p w14:paraId="0235899F" w14:textId="060EDBA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ML / DL</w:t>
            </w:r>
          </w:p>
        </w:tc>
        <w:tc>
          <w:tcPr>
            <w:tcW w:w="2289" w:type="dxa"/>
          </w:tcPr>
          <w:p w14:paraId="5AED4365" w14:textId="10BCC9B7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Обучение нелинейных зависимостей по данным</w:t>
            </w:r>
          </w:p>
        </w:tc>
        <w:tc>
          <w:tcPr>
            <w:tcW w:w="2586" w:type="dxa"/>
          </w:tcPr>
          <w:p w14:paraId="5B3F6118" w14:textId="42110D4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Высокая аппроксимационная гибкость</w:t>
            </w:r>
          </w:p>
        </w:tc>
        <w:tc>
          <w:tcPr>
            <w:tcW w:w="2565" w:type="dxa"/>
          </w:tcPr>
          <w:p w14:paraId="297CB9AD" w14:textId="33AD6E8D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Высокие требования к данным, ограниченная интерпретируемость</w:t>
            </w:r>
          </w:p>
        </w:tc>
      </w:tr>
      <w:tr w:rsidR="00BD58F0" w:rsidRPr="00BD58F0" w14:paraId="18E0B211" w14:textId="77777777" w:rsidTr="00BD58F0">
        <w:tc>
          <w:tcPr>
            <w:tcW w:w="2187" w:type="dxa"/>
          </w:tcPr>
          <w:p w14:paraId="6429CE64" w14:textId="4DA319C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Гибридные</w:t>
            </w:r>
          </w:p>
        </w:tc>
        <w:tc>
          <w:tcPr>
            <w:tcW w:w="2289" w:type="dxa"/>
          </w:tcPr>
          <w:p w14:paraId="32DFACC5" w14:textId="19DE3A58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Сочетание физики и data driven блока</w:t>
            </w:r>
          </w:p>
        </w:tc>
        <w:tc>
          <w:tcPr>
            <w:tcW w:w="2586" w:type="dxa"/>
          </w:tcPr>
          <w:p w14:paraId="49F3BE42" w14:textId="0933E6A9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Баланс точности и интерпретируемости</w:t>
            </w:r>
          </w:p>
        </w:tc>
        <w:tc>
          <w:tcPr>
            <w:tcW w:w="2565" w:type="dxa"/>
          </w:tcPr>
          <w:p w14:paraId="26D6C8C3" w14:textId="79B9913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Сложность настройки и верификации</w:t>
            </w:r>
          </w:p>
        </w:tc>
      </w:tr>
      <w:tr w:rsidR="00BD58F0" w:rsidRPr="00BD58F0" w14:paraId="1790B33F" w14:textId="77777777" w:rsidTr="00BD58F0">
        <w:tc>
          <w:tcPr>
            <w:tcW w:w="2187" w:type="dxa"/>
          </w:tcPr>
          <w:p w14:paraId="15A045B8" w14:textId="3CDAF81F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Импедансные</w:t>
            </w:r>
          </w:p>
        </w:tc>
        <w:tc>
          <w:tcPr>
            <w:tcW w:w="2289" w:type="dxa"/>
          </w:tcPr>
          <w:p w14:paraId="409F5872" w14:textId="2D58AFC5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Использование EIS признаков как маркеров старения</w:t>
            </w:r>
          </w:p>
        </w:tc>
        <w:tc>
          <w:tcPr>
            <w:tcW w:w="2586" w:type="dxa"/>
          </w:tcPr>
          <w:p w14:paraId="3C10D486" w14:textId="401BEE50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Ранняя чувствительность к деградации, физическая содержательность</w:t>
            </w:r>
          </w:p>
        </w:tc>
        <w:tc>
          <w:tcPr>
            <w:tcW w:w="2565" w:type="dxa"/>
          </w:tcPr>
          <w:p w14:paraId="6CB5DA9D" w14:textId="4881974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Трудности быстрого измерения и online интерпретации</w:t>
            </w:r>
          </w:p>
        </w:tc>
      </w:tr>
    </w:tbl>
    <w:p w14:paraId="478C5079" w14:textId="77777777" w:rsidR="00B021FE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761B74" w14:textId="5CF56F74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8F0">
        <w:rPr>
          <w:rFonts w:ascii="Times New Roman" w:hAnsi="Times New Roman" w:cs="Times New Roman"/>
          <w:sz w:val="28"/>
          <w:szCs w:val="28"/>
        </w:rPr>
        <w:t xml:space="preserve">Для визуального сравнения классов моделей был выполнен многокритериальный анализ по показателям физической интерпретации, </w:t>
      </w:r>
      <w:r w:rsidRPr="00BD58F0">
        <w:rPr>
          <w:rFonts w:ascii="Times New Roman" w:hAnsi="Times New Roman" w:cs="Times New Roman"/>
          <w:sz w:val="28"/>
          <w:szCs w:val="28"/>
        </w:rPr>
        <w:lastRenderedPageBreak/>
        <w:t>онлайн-применимости, точности в сложных режимах, требованиям к данным и пригодности к ранней деградационной диагностике.</w:t>
      </w:r>
    </w:p>
    <w:p w14:paraId="4B521E5A" w14:textId="77777777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273929" w14:textId="4A7FFE53" w:rsidR="00BD58F0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327303" wp14:editId="58610AC1">
            <wp:extent cx="6119495" cy="3420110"/>
            <wp:effectExtent l="0" t="0" r="0" b="8890"/>
            <wp:docPr id="1739826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60B6E" w14:textId="7D332A31" w:rsidR="00DE3D9A" w:rsidRPr="00DE3D9A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D9A">
        <w:rPr>
          <w:rFonts w:ascii="Times New Roman" w:hAnsi="Times New Roman" w:cs="Times New Roman"/>
          <w:sz w:val="28"/>
          <w:szCs w:val="28"/>
        </w:rPr>
        <w:t>Рисунок 1.14 — Сравнение классов моделей прогнозирования остаточного ресурса</w:t>
      </w:r>
    </w:p>
    <w:p w14:paraId="0C7B3585" w14:textId="77777777" w:rsidR="00DE3D9A" w:rsidRPr="00EC4694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48DD5C" w14:textId="041B59C0" w:rsidR="00DE3D9A" w:rsidRPr="00EC4694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>На рисунке представлена сравнительная матрица шести классов моделей. Эмпирические модели выигрывают по простоте и онлайн применимости, но уступают по физической интерпретации и ранней чувствительности. Физические модели обладают максимальной интерпретируемостью, но проигрывают по вычислительной компактности. ML- и DL-подходы демонстрируют высокую гибкость, однако требуют больших массивов репрезентативных данных. Гибридные и импедансные подходы занимают промежуточное, но наиболее перспективное положение.</w:t>
      </w:r>
    </w:p>
    <w:p w14:paraId="60DE1191" w14:textId="50109C4B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систематизации исследовательского пространства задачи </w:t>
      </w:r>
      <w:r w:rsidRPr="00D07C8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D07C8B">
        <w:rPr>
          <w:rFonts w:ascii="Times New Roman" w:hAnsi="Times New Roman" w:cs="Times New Roman"/>
          <w:sz w:val="28"/>
          <w:szCs w:val="28"/>
        </w:rPr>
        <w:t xml:space="preserve">. Практическая польза заключается в обосновании выбора дальнейшей диссертационной стратегии: не чисто эмпирической и не </w:t>
      </w:r>
      <w:r w:rsidRPr="00D07C8B">
        <w:rPr>
          <w:rFonts w:ascii="Times New Roman" w:hAnsi="Times New Roman" w:cs="Times New Roman"/>
          <w:sz w:val="28"/>
          <w:szCs w:val="28"/>
        </w:rPr>
        <w:lastRenderedPageBreak/>
        <w:t xml:space="preserve">чисто </w:t>
      </w:r>
      <w:r w:rsidRPr="00D07C8B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D07C8B">
        <w:rPr>
          <w:rFonts w:ascii="Times New Roman" w:hAnsi="Times New Roman" w:cs="Times New Roman"/>
          <w:sz w:val="28"/>
          <w:szCs w:val="28"/>
        </w:rPr>
        <w:t>, а физически мотивированной, с опорой на импедансные признаки и возможностью гибридной интерпретации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6AB265" w14:textId="64314C3E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>Сопоставление реальной деградационной траектории с различными классами моделей показывает, что для сложной нелинейной траектории ресурсного старения линейные эмпирические аппроксимации быстро теряют точность, тогда как физически мотивированные и гибридные модели лучше воспроизводят переход к ускоренной стадии деградации.</w:t>
      </w:r>
    </w:p>
    <w:p w14:paraId="38B3990B" w14:textId="77777777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2F33D4" w14:textId="7C88B80A" w:rsidR="00D07C8B" w:rsidRDefault="00C23DEF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A075DB" wp14:editId="7F1E2CD2">
            <wp:extent cx="6119495" cy="3634105"/>
            <wp:effectExtent l="0" t="0" r="0" b="4445"/>
            <wp:docPr id="21129605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56E88" w14:textId="728C2AC3" w:rsidR="00C23DEF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E97">
        <w:rPr>
          <w:rFonts w:ascii="Times New Roman" w:hAnsi="Times New Roman" w:cs="Times New Roman"/>
          <w:sz w:val="28"/>
          <w:szCs w:val="28"/>
        </w:rPr>
        <w:t>Рисунок 1.15 — Сопоставление экспериментальной деградации и модельных траекторий</w:t>
      </w:r>
    </w:p>
    <w:p w14:paraId="18AA5170" w14:textId="77777777" w:rsidR="00772E97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C0662" w14:textId="1C4F8B60" w:rsidR="00772E97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>На рисунке показаны четыре траектории: экспериментальная кривая деградации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565E1">
        <w:rPr>
          <w:rFonts w:ascii="Times New Roman" w:hAnsi="Times New Roman" w:cs="Times New Roman"/>
          <w:sz w:val="28"/>
          <w:szCs w:val="28"/>
        </w:rPr>
        <w:t xml:space="preserve">, эмпирическая линейная модель, физическая модель и гибридная/импедансная модель. Хорошо видно, что линейная модель систематически переоценивает остаточный ресурс, поскольку не учитывает ускорение деградации на поздней стадии. Физическая модель значительно лучше </w:t>
      </w:r>
      <w:r w:rsidRPr="006565E1">
        <w:rPr>
          <w:rFonts w:ascii="Times New Roman" w:hAnsi="Times New Roman" w:cs="Times New Roman"/>
          <w:sz w:val="28"/>
          <w:szCs w:val="28"/>
        </w:rPr>
        <w:lastRenderedPageBreak/>
        <w:t>воспроизводит форму траектории, а гибридная/импедансная модель практически совпадает с экспериментальной кривой вблизи критического участка.</w:t>
      </w:r>
    </w:p>
    <w:p w14:paraId="5034D2CE" w14:textId="30D0EE25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демонстрирует принципиальную недостаточность линейных деградационных аппроксимаций для задач точного ресурсо-прогноза. Практическая ценность состоит в подтверждении целесообразности перехода к импедансно-ориентированной и гибридной структуре модели.</w:t>
      </w:r>
    </w:p>
    <w:p w14:paraId="1C72CDAD" w14:textId="519C9774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 xml:space="preserve">Для оценки относительной практической эффективности разных классов моделей на смешанном наборе тяговых и лабораторных сценариев была выполнена нормированная оценка средней ошибки прогноза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565E1">
        <w:rPr>
          <w:rFonts w:ascii="Times New Roman" w:hAnsi="Times New Roman" w:cs="Times New Roman"/>
          <w:sz w:val="28"/>
          <w:szCs w:val="28"/>
        </w:rPr>
        <w:t>.</w:t>
      </w:r>
    </w:p>
    <w:p w14:paraId="4DA4C717" w14:textId="77777777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2B0173" w14:textId="17C3F910" w:rsidR="006565E1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E4E79CD" wp14:editId="3473F6F2">
            <wp:extent cx="6119495" cy="3331210"/>
            <wp:effectExtent l="0" t="0" r="0" b="2540"/>
            <wp:docPr id="17974556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321D8" w14:textId="07D9D102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Рисунок 1.16 — Сравнительная точность классов моделей на смешанном испытательном наборе</w:t>
      </w:r>
    </w:p>
    <w:p w14:paraId="6A608A5A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510A7" w14:textId="4663305D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На рисунке приведены усреднённые ошибки прогноза остаточного ресурса для различных классов моделей. Наибольшая ошибка наблюдается у эмпирических моделей, наименьшая — у импедансных и гибридных. Это не </w:t>
      </w:r>
      <w:r w:rsidRPr="00FE5D03">
        <w:rPr>
          <w:rFonts w:ascii="Times New Roman" w:hAnsi="Times New Roman" w:cs="Times New Roman"/>
          <w:sz w:val="28"/>
          <w:szCs w:val="28"/>
        </w:rPr>
        <w:lastRenderedPageBreak/>
        <w:t>означает безусловного превосходства последних во всех задачах, однако подтверждает их преимущество в ситуациях, где критично раннее распознавание деградации и корректное описание нелинейного изменения состояния батареи.</w:t>
      </w:r>
    </w:p>
    <w:p w14:paraId="2B3A1B63" w14:textId="29B8E19F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количественно связывает классы моделей с их ожидаемой прогностической эффективностью. Практическая ценность заключается в выборе рационального направления дальнейшей разработки: для тяговых аккумуляторных батарей наиболее перспективными являются модели, включающие физически интерпретируемые импедансные признаки.</w:t>
      </w:r>
    </w:p>
    <w:p w14:paraId="40CAC00F" w14:textId="496643F6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Таким образом, анализ существующих моделей прогнозирования остаточного ресурса показывает, что ни один класс методов не обеспечивает одновременно полной физической интерпретируемости, устойчивости к сложным нестационарным режимам, низкой вычислительной сложности и высокой чувствительности к ранним стадиям деградации. Эмпирические модели слишком грубы, физические — слишком сложны для прямого внедрения, чисто data-driven подходы слишком чувствительны к данным и слабо интерпретируемы. Наиболее перспективным направлением является импедансно-ориентированная и гибридная постановка, в которой физически содержательные спектральные признаки соединяются с прогностической моделью ресурса. Именно это направление и образует научную основу настоящей диссертационной работы.</w:t>
      </w:r>
    </w:p>
    <w:p w14:paraId="01BBCB4B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8A57DF" w14:textId="62A8AE95" w:rsidR="00FE5D03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4694">
        <w:rPr>
          <w:rFonts w:ascii="Times New Roman" w:hAnsi="Times New Roman" w:cs="Times New Roman"/>
          <w:b/>
          <w:bCs/>
          <w:sz w:val="28"/>
          <w:szCs w:val="28"/>
        </w:rPr>
        <w:t>1.6 Выявленные научные проблемы и постановка задач исследования</w:t>
      </w:r>
    </w:p>
    <w:p w14:paraId="35F538B7" w14:textId="77777777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3EEA21" w14:textId="0B8F7E2D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Проведённый анализ показал, что современные исследования аккумуляторных систем достигли высокого уровня в части описания отдельных механизмов деградации, разработки методов оценки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C4694">
        <w:rPr>
          <w:rFonts w:ascii="Times New Roman" w:hAnsi="Times New Roman" w:cs="Times New Roman"/>
          <w:sz w:val="28"/>
          <w:szCs w:val="28"/>
        </w:rPr>
        <w:t xml:space="preserve"> и построения частных моделей прогноза ресурса. Вместе с тем обзорные работы последних лет </w:t>
      </w:r>
      <w:r w:rsidRPr="00EC4694">
        <w:rPr>
          <w:rFonts w:ascii="Times New Roman" w:hAnsi="Times New Roman" w:cs="Times New Roman"/>
          <w:sz w:val="28"/>
          <w:szCs w:val="28"/>
        </w:rPr>
        <w:lastRenderedPageBreak/>
        <w:t xml:space="preserve">указывают, что наиболее интенсивно развиваются три направления: методы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C4694">
        <w:rPr>
          <w:rFonts w:ascii="Times New Roman" w:hAnsi="Times New Roman" w:cs="Times New Roman"/>
          <w:sz w:val="28"/>
          <w:szCs w:val="28"/>
        </w:rPr>
        <w:t>/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EC469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оценки, </w:t>
      </w:r>
      <w:r w:rsidRPr="00EC4694">
        <w:rPr>
          <w:rFonts w:ascii="Times New Roman" w:hAnsi="Times New Roman" w:cs="Times New Roman"/>
          <w:sz w:val="28"/>
          <w:szCs w:val="28"/>
        </w:rPr>
        <w:t>гибридные модели и online/near-online алгоритмы, тогда как проблема объединения физически интерпретируемых диагностических признаков с инженерно реализуемым прогнозом ресурса остаётся открытой.</w:t>
      </w:r>
    </w:p>
    <w:p w14:paraId="6BB5B1D4" w14:textId="44B535B0" w:rsidR="00FE5D03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С методологической точки зрения современное научное поле разделено на три относительно самостоятельные области. Первая область связана с фундаментальными электрохимическими моделями, в которых состояние батареи описывается через кинетику зарядопереноса, диффузию, тепловые эффекты и межфазные реакции. Вторая область представлена лабораторной импедансной диагностикой, позволяющей получать спектральные признаки внутреннего состояния батареи. Третья область включает инженерные алгоритмы BMS, ориентированные на быстрые измерения напряжения, тока, температуры и ограниченного набора оценочных параметров. Современные обзоры по EIS для транспортных аккумуляторов прямо подчёркивают, что именно разрыв между глубокой диагностической информативностью EIS и требованиями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onboard-реализации</w:t>
      </w:r>
      <w:r w:rsidRPr="00EC4694">
        <w:rPr>
          <w:rFonts w:ascii="Times New Roman" w:hAnsi="Times New Roman" w:cs="Times New Roman"/>
          <w:sz w:val="28"/>
          <w:szCs w:val="28"/>
        </w:rPr>
        <w:t xml:space="preserve"> остаётся одним из ключевых барьеров для промышленного внедрения метода.</w:t>
      </w:r>
    </w:p>
    <w:p w14:paraId="0F847EC3" w14:textId="68054F61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>Проблема особенно обостряется в условиях тяговой эксплуатации. В лабораторной постановке спектр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(ω)</w:t>
      </w:r>
      <w:r w:rsidRPr="00EC4694">
        <w:rPr>
          <w:rFonts w:ascii="Times New Roman" w:hAnsi="Times New Roman" w:cs="Times New Roman"/>
          <w:sz w:val="28"/>
          <w:szCs w:val="28"/>
        </w:rPr>
        <w:t xml:space="preserve"> обычно измеряется вблизи стационарной рабочей точки при малом гармоническом возмущении и фиксированной температуре. В электротранспортном приложении, напротив, батарея функционирует при переменном токе, меняющемся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переменной температуре и при наличии рекуперационных режимов. Современные исследования по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EC4694">
        <w:rPr>
          <w:rFonts w:ascii="Times New Roman" w:hAnsi="Times New Roman" w:cs="Times New Roman"/>
          <w:sz w:val="28"/>
          <w:szCs w:val="28"/>
        </w:rPr>
        <w:t xml:space="preserve"> показывают, что динамические спектры лучше отражают реальное состояние батареи при заряде и разряде, чем классические статические измерения, однако методически и аппаратно такая постановка остаётся существенно более сложной.</w:t>
      </w:r>
    </w:p>
    <w:p w14:paraId="3B140859" w14:textId="67F7AB94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В результате возникает принципиальное противоречие. С одной стороны, импедансная спектроскопия является одним из наиболее чувствительных </w:t>
      </w:r>
      <w:r w:rsidRPr="00EC4694">
        <w:rPr>
          <w:rFonts w:ascii="Times New Roman" w:hAnsi="Times New Roman" w:cs="Times New Roman"/>
          <w:sz w:val="28"/>
          <w:szCs w:val="28"/>
        </w:rPr>
        <w:lastRenderedPageBreak/>
        <w:t xml:space="preserve">инструментов ранней диагностики деградации. С другой стороны, существующие BMS-алгоритмы преимущественно опираются на интегральные и сравнительно грубые измеряемые величины. Ряд современных работ по раннему прогнозу ресурса уже показывает, что геометрические признаки спектра Найквиста и другие EIS-параметры могут использоваться для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early-stage lifetime prediction</w:t>
      </w:r>
      <w:r w:rsidRPr="00EC4694">
        <w:rPr>
          <w:rFonts w:ascii="Times New Roman" w:hAnsi="Times New Roman" w:cs="Times New Roman"/>
          <w:sz w:val="28"/>
          <w:szCs w:val="28"/>
        </w:rPr>
        <w:t xml:space="preserve">, однако такие подходы чаще всего остаются либо лабораторными, либо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EC4694">
        <w:rPr>
          <w:rFonts w:ascii="Times New Roman" w:hAnsi="Times New Roman" w:cs="Times New Roman"/>
          <w:sz w:val="28"/>
          <w:szCs w:val="28"/>
        </w:rPr>
        <w:t>, либо ориентированными на одну химическую систему без формирования единой инженерной модели прогноза.</w:t>
      </w:r>
    </w:p>
    <w:p w14:paraId="39EC565C" w14:textId="1C057035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Для формализации выявленного исследовательского разрыва целесообразно представить существующее состояние проблемы в виде </w:t>
      </w:r>
      <w:r w:rsidR="008D2C3D" w:rsidRPr="008D2C3D">
        <w:rPr>
          <w:rFonts w:ascii="Times New Roman" w:hAnsi="Times New Roman" w:cs="Times New Roman"/>
          <w:sz w:val="28"/>
          <w:szCs w:val="28"/>
        </w:rPr>
        <w:t>структуры взаимосвязанных, но недостаточно интегрированных блоков: фундаментальных моделей, лабораторной диагностики и инженерных алгоритмов управления батареей.</w:t>
      </w:r>
    </w:p>
    <w:p w14:paraId="2BEECD6F" w14:textId="77777777" w:rsidR="008D2C3D" w:rsidRPr="00AC77B7" w:rsidRDefault="008D2C3D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00D557" w14:textId="78ECF6E7" w:rsidR="008D2C3D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12A255F" wp14:editId="6DE846D2">
            <wp:extent cx="6119495" cy="3311525"/>
            <wp:effectExtent l="0" t="0" r="0" b="3175"/>
            <wp:docPr id="87197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33E71" w14:textId="7C2473D9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31A9">
        <w:rPr>
          <w:rFonts w:ascii="Times New Roman" w:hAnsi="Times New Roman" w:cs="Times New Roman"/>
          <w:sz w:val="28"/>
          <w:szCs w:val="28"/>
        </w:rPr>
        <w:t>Рисунок 1.17 — Структура научного разрыва в задаче диагностики и прогноза ресурса тяговых аккумуляторных батарей</w:t>
      </w:r>
    </w:p>
    <w:p w14:paraId="6850E203" w14:textId="77777777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7CB8A" w14:textId="5AC75049" w:rsidR="008B31A9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показано, что фундаментальные электрохимические модели, лабораторная импедансная диагностика и инженерные алгоритмы BMS существуют как методически развитые, но не полностью объединённые уровни описания аккумуляторной системы. Для фундаментальных моделей характерна ориентация на стационарные условия и на подробное описание физики процесса. Для лабораторной EIS-диагностики — использование полного спектра и длительных измерений. Для BMS-уровня — работа с ограниченным набором быстро доступных величин. Научный разрыв возникает в точке, где требуется перейти от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AE48BB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E48B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AE48B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 оценке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E48BB">
        <w:rPr>
          <w:rFonts w:ascii="Times New Roman" w:hAnsi="Times New Roman" w:cs="Times New Roman"/>
          <w:sz w:val="28"/>
          <w:szCs w:val="28"/>
        </w:rPr>
        <w:t xml:space="preserve">, скорости деградации и прогнозу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AE48BB">
        <w:rPr>
          <w:rFonts w:ascii="Times New Roman" w:hAnsi="Times New Roman" w:cs="Times New Roman"/>
          <w:sz w:val="28"/>
          <w:szCs w:val="28"/>
        </w:rPr>
        <w:t xml:space="preserve"> в нестационарных тяговых режимах.</w:t>
      </w:r>
    </w:p>
    <w:p w14:paraId="55138500" w14:textId="756117B9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локализует собственный предмет диссертационного исследования. Практическая польза рисунка заключается в том, что он задаёт архитектуру дальнейшего исследования: от построения физико-математической модели импеданса — к параметрической идентификации, далее к диагностике состояния и затем к ресурсо-прогнозу.</w:t>
      </w:r>
    </w:p>
    <w:p w14:paraId="41F12343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AD594D" w14:textId="05E2872E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48BB">
        <w:rPr>
          <w:rFonts w:ascii="Times New Roman" w:hAnsi="Times New Roman" w:cs="Times New Roman"/>
          <w:b/>
          <w:bCs/>
          <w:sz w:val="28"/>
          <w:szCs w:val="28"/>
        </w:rPr>
        <w:t>1.6.1 Основные научные проблемы</w:t>
      </w:r>
    </w:p>
    <w:p w14:paraId="38D7F446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B61E2C" w14:textId="6A087475" w:rsidR="00AE48BB" w:rsidRPr="00AE48BB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Первая научная проблема заключается в отсутствии единой модели, связывающей параметры комплексного импеданса с текущим техническим состоянием батареи в нестационарных условиях эксплуатации. Иначе говоря, в существующих работах обычно либо анализируется сам спектр, либо строится модель деградации, однако переход</w:t>
      </w:r>
    </w:p>
    <w:p w14:paraId="76A99768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39FB73" w14:textId="44A092A4" w:rsidR="00AE48BB" w:rsidRPr="00902FA4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1820" w:dyaOrig="320" w14:anchorId="12F74532">
          <v:shape id="_x0000_i1083" type="#_x0000_t75" style="width:91pt;height:16.15pt" o:ole="">
            <v:imagedata r:id="rId143" o:title=""/>
          </v:shape>
          <o:OLEObject Type="Embed" ProgID="Equation.DSMT4" ShapeID="_x0000_i1083" DrawAspect="Content" ObjectID="_1841744508" r:id="rId144"/>
        </w:object>
      </w:r>
      <w:r w:rsidRPr="00902FA4">
        <w:rPr>
          <w:rFonts w:ascii="Times New Roman" w:hAnsi="Times New Roman" w:cs="Times New Roman"/>
          <w:sz w:val="28"/>
          <w:szCs w:val="28"/>
        </w:rPr>
        <w:t xml:space="preserve">, </w:t>
      </w:r>
      <w:r w:rsidRPr="00902FA4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1780" w:dyaOrig="320" w14:anchorId="66534E5F">
          <v:shape id="_x0000_i1084" type="#_x0000_t75" style="width:88.7pt;height:16.15pt" o:ole="">
            <v:imagedata r:id="rId145" o:title=""/>
          </v:shape>
          <o:OLEObject Type="Embed" ProgID="Equation.DSMT4" ShapeID="_x0000_i1084" DrawAspect="Content" ObjectID="_1841744509" r:id="rId146"/>
        </w:object>
      </w:r>
    </w:p>
    <w:p w14:paraId="37681F3E" w14:textId="432FCD06" w:rsidR="00AE48BB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>не получает универсальной и достаточно строгой формализации.</w:t>
      </w:r>
    </w:p>
    <w:p w14:paraId="0C540363" w14:textId="191E10ED" w:rsidR="00902FA4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lastRenderedPageBreak/>
        <w:t xml:space="preserve">Вторая научная проблема состоит в том, что большинство существующих моделей ресурса либо слабо интерпретируемы, либо ограниченно переносимы между режимами и химическими системами. Обзорные работы по 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902FA4">
        <w:rPr>
          <w:rFonts w:ascii="Times New Roman" w:hAnsi="Times New Roman" w:cs="Times New Roman"/>
          <w:sz w:val="28"/>
          <w:szCs w:val="28"/>
        </w:rPr>
        <w:t>/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902FA4">
        <w:rPr>
          <w:rFonts w:ascii="Times New Roman" w:hAnsi="Times New Roman" w:cs="Times New Roman"/>
          <w:sz w:val="28"/>
          <w:szCs w:val="28"/>
        </w:rPr>
        <w:t xml:space="preserve">-моделированию последовательно разделяют методы на </w:t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>model-based, data-driven и hybrid approaches</w:t>
      </w:r>
      <w:r w:rsidRPr="00902FA4">
        <w:rPr>
          <w:rFonts w:ascii="Times New Roman" w:hAnsi="Times New Roman" w:cs="Times New Roman"/>
          <w:sz w:val="28"/>
          <w:szCs w:val="28"/>
        </w:rPr>
        <w:t>, причём именно гибридные подходы рассматриваются как наиболее перспективные, но и наиболее методически сложные в верификации.</w:t>
      </w:r>
    </w:p>
    <w:p w14:paraId="2397C7AD" w14:textId="272AEE81" w:rsidR="00902FA4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Третья научная проблема связана с ранней диагностикой деградации. Классическое определение конца ресурса по условию </w:t>
      </w:r>
      <w:r w:rsidRPr="0019272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92726">
        <w:rPr>
          <w:rFonts w:ascii="Times New Roman" w:hAnsi="Times New Roman" w:cs="Times New Roman"/>
          <w:sz w:val="28"/>
          <w:szCs w:val="28"/>
        </w:rPr>
        <w:t xml:space="preserve"> = 80% широко используется в литературе и инженерной практике, однако современные обзоры подчёркивают, что ресурсный отказ в реальной системе часто связан не только со снижением ёмкости, но и с </w:t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Pr="00192726">
        <w:rPr>
          <w:rFonts w:ascii="Times New Roman" w:hAnsi="Times New Roman" w:cs="Times New Roman"/>
          <w:sz w:val="28"/>
          <w:szCs w:val="28"/>
        </w:rPr>
        <w:t>, ростом импеданса и ухудшением теплового поведения батареи. Это означает, что одного ёмкостного индикатора недостаточно, а ресурсная модель должна включать внутренние электрические признаки состояния.</w:t>
      </w:r>
    </w:p>
    <w:p w14:paraId="3E2EE08F" w14:textId="59228C1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Четвёртая научная проблема заключается в ограниченной пригодности классической стационарной EIS-постановки для тяговых приложений. Современные работы по </w:t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>onboard-EIS и dynamic EIS</w:t>
      </w:r>
      <w:r w:rsidRPr="00192726">
        <w:rPr>
          <w:rFonts w:ascii="Times New Roman" w:hAnsi="Times New Roman" w:cs="Times New Roman"/>
          <w:sz w:val="28"/>
          <w:szCs w:val="28"/>
        </w:rPr>
        <w:t xml:space="preserve"> показывают, что аппаратная и алгоритмическая адаптация спектроскопии к реальным режимам эксплуатации остаётся сложной задачей, особенно в низкочастотной области и при быстро меняющемся токовом профиле.</w:t>
      </w:r>
    </w:p>
    <w:p w14:paraId="3BCF5B1E" w14:textId="0634AAE3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Пятая научная проблема связана с необходимостью унификации подхода для различных электрохимических систем. Большинство существующих исследований выполняется либо для одной конкретной литий-ионной химии, либо для одной серии данных, тогда как тяговая практика требует сравнительного и обобщающего подхода по крайней мере для NMC, LFP, LTO и Na-ion батарей.</w:t>
      </w:r>
    </w:p>
    <w:p w14:paraId="59ED1068" w14:textId="77777777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572C3E" w14:textId="3D7936E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Таблица 1.7 – Выявленные научные проблемы и требуемые направления их решения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084EA8" w14:paraId="75A6942B" w14:textId="77777777" w:rsidTr="00084EA8">
        <w:tc>
          <w:tcPr>
            <w:tcW w:w="3209" w:type="dxa"/>
          </w:tcPr>
          <w:p w14:paraId="02AFE890" w14:textId="0153417D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Выявленная проблема</w:t>
            </w:r>
          </w:p>
        </w:tc>
        <w:tc>
          <w:tcPr>
            <w:tcW w:w="3209" w:type="dxa"/>
          </w:tcPr>
          <w:p w14:paraId="31799A48" w14:textId="05039DC5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Проявление в существующих исследованиях</w:t>
            </w:r>
          </w:p>
        </w:tc>
        <w:tc>
          <w:tcPr>
            <w:tcW w:w="3209" w:type="dxa"/>
          </w:tcPr>
          <w:p w14:paraId="212077F4" w14:textId="472ED1A8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Требуемое направление решения</w:t>
            </w:r>
          </w:p>
        </w:tc>
      </w:tr>
      <w:tr w:rsidR="00084EA8" w:rsidRPr="00084EA8" w14:paraId="21F9F8C5" w14:textId="77777777" w:rsidTr="00084EA8">
        <w:tc>
          <w:tcPr>
            <w:tcW w:w="3209" w:type="dxa"/>
          </w:tcPr>
          <w:p w14:paraId="128F2F3C" w14:textId="158C7E3C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Нет единой связи между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(ω,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)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SOH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</w:p>
        </w:tc>
        <w:tc>
          <w:tcPr>
            <w:tcW w:w="3209" w:type="dxa"/>
          </w:tcPr>
          <w:p w14:paraId="1A13BCC8" w14:textId="48201A85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Диагностика и прогноз часто разобщены</w:t>
            </w:r>
          </w:p>
        </w:tc>
        <w:tc>
          <w:tcPr>
            <w:tcW w:w="3209" w:type="dxa"/>
          </w:tcPr>
          <w:p w14:paraId="023E100A" w14:textId="653A706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Построение объединённой диагностико-прогностической модели</w:t>
            </w:r>
          </w:p>
        </w:tc>
      </w:tr>
      <w:tr w:rsidR="00084EA8" w:rsidRPr="00084EA8" w14:paraId="31EE0012" w14:textId="77777777" w:rsidTr="00084EA8">
        <w:tc>
          <w:tcPr>
            <w:tcW w:w="3209" w:type="dxa"/>
          </w:tcPr>
          <w:p w14:paraId="0DC96CB2" w14:textId="57A35C7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Ограниченная переносимость моделей между режимами</w:t>
            </w:r>
          </w:p>
        </w:tc>
        <w:tc>
          <w:tcPr>
            <w:tcW w:w="3209" w:type="dxa"/>
          </w:tcPr>
          <w:p w14:paraId="035BABF4" w14:textId="3D077977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Точность падает при изменении температуры, токового профиля и химии</w:t>
            </w:r>
          </w:p>
        </w:tc>
        <w:tc>
          <w:tcPr>
            <w:tcW w:w="3209" w:type="dxa"/>
          </w:tcPr>
          <w:p w14:paraId="6EE06776" w14:textId="2DE25B4C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Включение режимных и химически специфичных параметров</w:t>
            </w:r>
          </w:p>
        </w:tc>
      </w:tr>
      <w:tr w:rsidR="00084EA8" w:rsidRPr="00084EA8" w14:paraId="2F70E85A" w14:textId="77777777" w:rsidTr="00084EA8">
        <w:tc>
          <w:tcPr>
            <w:tcW w:w="3209" w:type="dxa"/>
          </w:tcPr>
          <w:p w14:paraId="12858317" w14:textId="4E18C5E2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Недостаточная ранняя чувствительность ёмкостных критериев</w:t>
            </w:r>
          </w:p>
        </w:tc>
        <w:tc>
          <w:tcPr>
            <w:tcW w:w="3209" w:type="dxa"/>
          </w:tcPr>
          <w:p w14:paraId="2702C6F3" w14:textId="703140F5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Рост импеданса начинается раньше выраженного capacity fade</w:t>
            </w:r>
          </w:p>
        </w:tc>
        <w:tc>
          <w:tcPr>
            <w:tcW w:w="3209" w:type="dxa"/>
          </w:tcPr>
          <w:p w14:paraId="30971798" w14:textId="1840D36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Использование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diff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как ресурсных признаков</w:t>
            </w:r>
          </w:p>
        </w:tc>
      </w:tr>
      <w:tr w:rsidR="00084EA8" w:rsidRPr="00084EA8" w14:paraId="731EDDE5" w14:textId="77777777" w:rsidTr="00084EA8">
        <w:tc>
          <w:tcPr>
            <w:tcW w:w="3209" w:type="dxa"/>
          </w:tcPr>
          <w:p w14:paraId="198E9F23" w14:textId="49701DD0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Сложность применения классической EIS в BMS</w:t>
            </w:r>
          </w:p>
        </w:tc>
        <w:tc>
          <w:tcPr>
            <w:tcW w:w="3209" w:type="dxa"/>
          </w:tcPr>
          <w:p w14:paraId="0F7BBE69" w14:textId="4EACC1BA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Полный спектр требует времени и специальных условий</w:t>
            </w:r>
          </w:p>
        </w:tc>
        <w:tc>
          <w:tcPr>
            <w:tcW w:w="3209" w:type="dxa"/>
          </w:tcPr>
          <w:p w14:paraId="19447A91" w14:textId="3FFA705F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Разработка редуцированного частотного протокола и быстрого алгоритма</w:t>
            </w:r>
          </w:p>
        </w:tc>
      </w:tr>
      <w:tr w:rsidR="00084EA8" w:rsidRPr="00084EA8" w14:paraId="71D35DEB" w14:textId="77777777" w:rsidTr="00084EA8">
        <w:tc>
          <w:tcPr>
            <w:tcW w:w="3209" w:type="dxa"/>
          </w:tcPr>
          <w:p w14:paraId="02339680" w14:textId="0C0082AD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Слабая унификация по химическим системам</w:t>
            </w:r>
          </w:p>
        </w:tc>
        <w:tc>
          <w:tcPr>
            <w:tcW w:w="3209" w:type="dxa"/>
          </w:tcPr>
          <w:p w14:paraId="10216D2B" w14:textId="19BB25F5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Большинство моделей валидировано на одной химии</w:t>
            </w:r>
          </w:p>
        </w:tc>
        <w:tc>
          <w:tcPr>
            <w:tcW w:w="3209" w:type="dxa"/>
          </w:tcPr>
          <w:p w14:paraId="6D65B4BB" w14:textId="2BFE1862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Формирование адаптивной, но общей структуры модели</w:t>
            </w:r>
          </w:p>
        </w:tc>
      </w:tr>
    </w:tbl>
    <w:p w14:paraId="6B1F2A57" w14:textId="77777777" w:rsidR="00192726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9A1C2" w14:textId="36C61A81" w:rsidR="006D6714" w:rsidRPr="00BE43FE" w:rsidRDefault="006D6714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4">
        <w:rPr>
          <w:rFonts w:ascii="Times New Roman" w:hAnsi="Times New Roman" w:cs="Times New Roman"/>
          <w:sz w:val="28"/>
          <w:szCs w:val="28"/>
        </w:rPr>
        <w:t>Таблица показывает, что исследовательская задача не сводится к улучшению одного алгоритма аппроксимации. Требуется построение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6714">
        <w:rPr>
          <w:rFonts w:ascii="Times New Roman" w:hAnsi="Times New Roman" w:cs="Times New Roman"/>
          <w:sz w:val="28"/>
          <w:szCs w:val="28"/>
        </w:rPr>
        <w:t>целостной концепции, в которой физически интерпретируемые импедансные признаки используются как база для online- или nea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BE43FE" w:rsidRPr="00BE43FE">
        <w:rPr>
          <w:rFonts w:ascii="Times New Roman" w:hAnsi="Times New Roman" w:cs="Times New Roman"/>
          <w:sz w:val="28"/>
          <w:szCs w:val="28"/>
        </w:rPr>
        <w:t>-</w:t>
      </w:r>
      <w:r w:rsidR="00BE43FE">
        <w:rPr>
          <w:rFonts w:ascii="Times New Roman" w:hAnsi="Times New Roman" w:cs="Times New Roman"/>
          <w:sz w:val="28"/>
          <w:szCs w:val="28"/>
          <w:lang w:val="en-US"/>
        </w:rPr>
        <w:t>online</w:t>
      </w:r>
      <w:r w:rsidR="00BE43FE" w:rsidRPr="00BE43FE">
        <w:rPr>
          <w:rFonts w:ascii="Times New Roman" w:hAnsi="Times New Roman" w:cs="Times New Roman"/>
          <w:sz w:val="28"/>
          <w:szCs w:val="28"/>
        </w:rPr>
        <w:t>-диагностики и прогноза ресурса.</w:t>
      </w:r>
    </w:p>
    <w:p w14:paraId="6166B93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C26BB" w14:textId="0E162704" w:rsidR="00BE43FE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40D1">
        <w:rPr>
          <w:rFonts w:ascii="Times New Roman" w:hAnsi="Times New Roman" w:cs="Times New Roman"/>
          <w:b/>
          <w:bCs/>
          <w:sz w:val="28"/>
          <w:szCs w:val="28"/>
        </w:rPr>
        <w:lastRenderedPageBreak/>
        <w:t>1.6.2 Формализация научной гипотезы в терминах главы 1</w:t>
      </w:r>
    </w:p>
    <w:p w14:paraId="68A89E0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B6600E" w14:textId="6BA5DD3D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По результатам выполненного анализа может быть сформулирована следующая научная гипотеза: параметры комплексного импеданса тяговой аккумуляторной батареи содержат достаточную информацию для восстановления текущего деградационного состояния и прогнозирования остаточного ресурса в условиях нестационарной эксплуатации, если модель учитывает температурные, нагрузочные и химически-специфичные особенности аккумуляторной системы.</w:t>
      </w:r>
    </w:p>
    <w:p w14:paraId="04117D5B" w14:textId="04A63D8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В математической форме это означает существование отображений</w:t>
      </w:r>
    </w:p>
    <w:p w14:paraId="6886FE39" w14:textId="7777777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925CDE" w14:textId="64BA7CB4" w:rsidR="004A40D1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760" w:dyaOrig="400" w14:anchorId="0D296E56">
          <v:shape id="_x0000_i1085" type="#_x0000_t75" style="width:188.35pt;height:19.6pt" o:ole="">
            <v:imagedata r:id="rId147" o:title=""/>
          </v:shape>
          <o:OLEObject Type="Embed" ProgID="Equation.DSMT4" ShapeID="_x0000_i1085" DrawAspect="Content" ObjectID="_1841744510" r:id="rId148"/>
        </w:objec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5C693E32" w14:textId="614EF748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2960" w:dyaOrig="680" w14:anchorId="2E2C4D19">
          <v:shape id="_x0000_i1086" type="#_x0000_t75" style="width:148.6pt;height:34pt" o:ole="">
            <v:imagedata r:id="rId149" o:title=""/>
          </v:shape>
          <o:OLEObject Type="Embed" ProgID="Equation.DSMT4" ShapeID="_x0000_i1086" DrawAspect="Content" ObjectID="_1841744511" r:id="rId150"/>
        </w:objec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1E02819" w14:textId="31114E0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Первая функция соответствует диагностическому уровню, вторая — прогностическому. Их совместное использование задаёт основу будущей диссертационной модели.</w:t>
      </w:r>
    </w:p>
    <w:p w14:paraId="26D4C90C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2EBB7B" w14:textId="1AC4A6B8" w:rsidR="004A40D1" w:rsidRP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7969">
        <w:rPr>
          <w:rFonts w:ascii="Times New Roman" w:hAnsi="Times New Roman" w:cs="Times New Roman"/>
          <w:b/>
          <w:bCs/>
          <w:sz w:val="28"/>
          <w:szCs w:val="28"/>
        </w:rPr>
        <w:t>1.6.3 Постановка задач исследования</w:t>
      </w:r>
    </w:p>
    <w:p w14:paraId="4FB1AF94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D9DB74" w14:textId="7F1A79D5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В рамках выявленного научного разрыва должны быть решены следующие задачи.</w:t>
      </w:r>
    </w:p>
    <w:p w14:paraId="7C2F4B11" w14:textId="30561B76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физико-математическую модель комплексного импеданса тяговой аккумуляторной батареи, учитывающую омическую, зарядопереносную и диффузионную составляющие, а также влияние температуры, состояния заряда и химической системы.</w:t>
      </w:r>
    </w:p>
    <w:p w14:paraId="49E9F4E1" w14:textId="3CA30094" w:rsidR="00C77969" w:rsidRPr="00AC77B7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2. </w:t>
      </w:r>
      <w:r w:rsidRPr="00C77969">
        <w:rPr>
          <w:rFonts w:ascii="Times New Roman" w:hAnsi="Times New Roman" w:cs="Times New Roman"/>
          <w:sz w:val="28"/>
          <w:szCs w:val="28"/>
        </w:rPr>
        <w:t>Установить количественные зависимости между параметрами импедансной модели и показателями технического состояния батареи, прежде всего 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C77969">
        <w:rPr>
          <w:rFonts w:ascii="Times New Roman" w:hAnsi="Times New Roman" w:cs="Times New Roman"/>
          <w:sz w:val="28"/>
          <w:szCs w:val="28"/>
        </w:rPr>
        <w:t xml:space="preserve">,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7969">
        <w:rPr>
          <w:rFonts w:ascii="Times New Roman" w:hAnsi="Times New Roman" w:cs="Times New Roman"/>
          <w:sz w:val="28"/>
          <w:szCs w:val="28"/>
        </w:rPr>
        <w:t>.</w:t>
      </w:r>
    </w:p>
    <w:p w14:paraId="1B16ABAD" w14:textId="1CF9B2A8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77969">
        <w:rPr>
          <w:rFonts w:ascii="Times New Roman" w:hAnsi="Times New Roman" w:cs="Times New Roman"/>
          <w:sz w:val="28"/>
          <w:szCs w:val="28"/>
        </w:rPr>
        <w:t>Построить модель деградационной динамики, связывающую скорость изменения импедансных параметров с режимом эксплуатации, температурой и типом аккумулятора.</w:t>
      </w:r>
    </w:p>
    <w:p w14:paraId="020A9D29" w14:textId="0E50C0EF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метод прогнозирования остаточного ресурса по импедансным признакам, включая линейно-локальные и нелинейные формы прогностических уравнений.</w:t>
      </w:r>
    </w:p>
    <w:p w14:paraId="655254B6" w14:textId="69747A13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C77969">
        <w:rPr>
          <w:rFonts w:ascii="Times New Roman" w:hAnsi="Times New Roman" w:cs="Times New Roman"/>
          <w:sz w:val="28"/>
          <w:szCs w:val="28"/>
        </w:rPr>
        <w:t>Сформировать сокращённый частотный протокол измерения, пригодный для экспресс-диагностики и последующей интеграции в контур BMS.</w:t>
      </w:r>
    </w:p>
    <w:p w14:paraId="423699AE" w14:textId="427E6A00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C77969">
        <w:rPr>
          <w:rFonts w:ascii="Times New Roman" w:hAnsi="Times New Roman" w:cs="Times New Roman"/>
          <w:sz w:val="28"/>
          <w:szCs w:val="28"/>
        </w:rPr>
        <w:t>Провести экспериментальную верификацию разработанных положений на опытной серии NMC, LFP, LTO и Na-ion батарей.</w:t>
      </w:r>
    </w:p>
    <w:p w14:paraId="5BD0A86B" w14:textId="5C7BF6C9" w:rsidR="00C77969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5AC">
        <w:rPr>
          <w:rFonts w:ascii="Times New Roman" w:hAnsi="Times New Roman" w:cs="Times New Roman"/>
          <w:sz w:val="28"/>
          <w:szCs w:val="28"/>
        </w:rPr>
        <w:t>Логика постановки задач исследования может быть представлена как последовательная цепочка перехода от измерения импеданса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35AC">
        <w:rPr>
          <w:rFonts w:ascii="Times New Roman" w:hAnsi="Times New Roman" w:cs="Times New Roman"/>
          <w:sz w:val="28"/>
          <w:szCs w:val="28"/>
        </w:rPr>
        <w:t>идентификации параметров, диагностике состояния, оценке скорости деградации и прогнозу остаточного ресурса.</w:t>
      </w:r>
    </w:p>
    <w:p w14:paraId="6673D038" w14:textId="77777777" w:rsidR="008F35AC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27DFB" w14:textId="3452B42C" w:rsidR="008F35AC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6EE545" wp14:editId="12FB3FCC">
            <wp:extent cx="6119495" cy="2416810"/>
            <wp:effectExtent l="0" t="0" r="0" b="2540"/>
            <wp:docPr id="13471627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0B578" w14:textId="6ECE1B74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lastRenderedPageBreak/>
        <w:t>На рисунке показана последовательность этапов: измерение импеданса, идентификация параметров эквивалентной модели, оценка текущего состояния батареи, определение скорости деградации и, наконец, прогноз остаточного ресурса. Такая схема подчёркивает, 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87D7B">
        <w:rPr>
          <w:rFonts w:ascii="Times New Roman" w:hAnsi="Times New Roman" w:cs="Times New Roman"/>
          <w:sz w:val="28"/>
          <w:szCs w:val="28"/>
        </w:rPr>
        <w:t>ресурсный прогноз не является непосредственным следствием одного измерения, а представляет собой результат многоступенчатой физически интерпретируемой обработки.</w:t>
      </w:r>
    </w:p>
    <w:p w14:paraId="44E80082" w14:textId="7EF0C4FF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формализует структуру диссертационного исследования как единую методологическую цепь. Практическая польза заключается в возможности переноса этой логики в архитектуру программно-аппаратной системы BMS или стендового диагностического комплекса.</w:t>
      </w:r>
    </w:p>
    <w:p w14:paraId="1B32AF8C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6F80A4" w14:textId="72B3DFB1" w:rsidR="00887D7B" w:rsidRPr="00C7366C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366C">
        <w:rPr>
          <w:rFonts w:ascii="Times New Roman" w:hAnsi="Times New Roman" w:cs="Times New Roman"/>
          <w:b/>
          <w:bCs/>
          <w:sz w:val="28"/>
          <w:szCs w:val="28"/>
        </w:rPr>
        <w:t>Выводы по главе 1</w:t>
      </w:r>
    </w:p>
    <w:p w14:paraId="48482689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BCD35A" w14:textId="616610D4" w:rsidR="00C7366C" w:rsidRPr="00FD5058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366C">
        <w:rPr>
          <w:rFonts w:ascii="Times New Roman" w:hAnsi="Times New Roman" w:cs="Times New Roman"/>
          <w:sz w:val="28"/>
          <w:szCs w:val="28"/>
        </w:rPr>
        <w:t>В первой главе выполнен системный анализ тяговых аккумуляторных батарей как элементов электротехнического комплекса, рассмотрены механизмы деградации NMC, LFP, LTO и Na-ion систем, проанализированы показатели технического состояния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FD5058" w:rsidRPr="00FD5058">
        <w:rPr>
          <w:rFonts w:ascii="Times New Roman" w:hAnsi="Times New Roman" w:cs="Times New Roman"/>
          <w:sz w:val="28"/>
          <w:szCs w:val="28"/>
        </w:rPr>
        <w:t>, а также показаны диагностические возможности электрохимической импедансной спектроскопии. Установлено, что EIS обеспечивает физически интерпретируемый доступ к внутреннему состоянию батареи и обладает высокой чувствительностью к ранним стадиям деградации, тогда как существующие модели прогноза ресурса либо недостаточно интерпретируемы, либо недостаточно устойчивы в сложных режимах эксплуатации.</w:t>
      </w:r>
    </w:p>
    <w:p w14:paraId="269C2CA9" w14:textId="2C979BCD" w:rsidR="00C7366C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5058">
        <w:rPr>
          <w:rFonts w:ascii="Times New Roman" w:hAnsi="Times New Roman" w:cs="Times New Roman"/>
          <w:sz w:val="28"/>
          <w:szCs w:val="28"/>
        </w:rPr>
        <w:t xml:space="preserve">Основным результатом главы является выявление центрального научного разрыва: отсутствует единая математически строгая и инженерно реализуемая модель перехода от параметров комплексного импеданса тяговой аккумуляторной батареи к оценке её текущего технического состояния, скорости </w:t>
      </w:r>
      <w:r w:rsidRPr="00FD5058">
        <w:rPr>
          <w:rFonts w:ascii="Times New Roman" w:hAnsi="Times New Roman" w:cs="Times New Roman"/>
          <w:sz w:val="28"/>
          <w:szCs w:val="28"/>
        </w:rPr>
        <w:lastRenderedPageBreak/>
        <w:t>деградации и остаточного ресурса в нестационарных режимах эксплуатации. Это обстоятельство определяет направление дальнейшего исследования.</w:t>
      </w:r>
    </w:p>
    <w:p w14:paraId="5DA0CB3C" w14:textId="77777777" w:rsidR="00FD5058" w:rsidRPr="00FD5058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FD5058" w:rsidRPr="00FD5058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xeon_ssd" w:date="2026-05-31T12:35:00Z" w:initials="x">
    <w:p w14:paraId="09A762ED" w14:textId="646F4B8C" w:rsidR="00DB5B26" w:rsidRDefault="00DB5B26">
      <w:pPr>
        <w:pStyle w:val="ae"/>
      </w:pPr>
      <w:r>
        <w:rPr>
          <w:rStyle w:val="ad"/>
        </w:rPr>
        <w:annotationRef/>
      </w:r>
      <w:r>
        <w:t>Надо их где-то расшифровать</w:t>
      </w:r>
    </w:p>
  </w:comment>
  <w:comment w:id="1" w:author="xeon_ssd" w:date="2026-05-31T12:45:00Z" w:initials="x">
    <w:p w14:paraId="39C05803" w14:textId="239D2797" w:rsidR="005C3755" w:rsidRDefault="005C3755">
      <w:pPr>
        <w:pStyle w:val="ae"/>
      </w:pPr>
      <w:r>
        <w:rPr>
          <w:rStyle w:val="ad"/>
        </w:rPr>
        <w:annotationRef/>
      </w:r>
      <w:r>
        <w:t>Нарисовать покрасивее</w:t>
      </w:r>
    </w:p>
  </w:comment>
  <w:comment w:id="2" w:author="xeon_ssd" w:date="2026-05-31T12:52:00Z" w:initials="x">
    <w:p w14:paraId="6B83933A" w14:textId="1DE13026" w:rsidR="0060746B" w:rsidRDefault="0060746B">
      <w:pPr>
        <w:pStyle w:val="ae"/>
      </w:pPr>
      <w:r>
        <w:rPr>
          <w:rStyle w:val="ad"/>
        </w:rPr>
        <w:annotationRef/>
      </w:r>
      <w:r>
        <w:t>Наверное нужно вставить график по реальным данным</w:t>
      </w:r>
    </w:p>
  </w:comment>
  <w:comment w:id="3" w:author="xeon_ssd" w:date="2026-05-31T14:34:00Z" w:initials="x">
    <w:p w14:paraId="2DE87458" w14:textId="7865C7AF" w:rsidR="00BB19A8" w:rsidRDefault="00BB19A8">
      <w:pPr>
        <w:pStyle w:val="ae"/>
      </w:pPr>
      <w:r>
        <w:rPr>
          <w:rStyle w:val="ad"/>
        </w:rPr>
        <w:annotationRef/>
      </w:r>
      <w:r w:rsidRPr="00BB19A8">
        <w:t>интеркаляции — процессе, при котором ионы лития внедряются в атомную структуру материалов, не разрушая её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9A762ED" w15:done="0"/>
  <w15:commentEx w15:paraId="39C05803" w15:done="0"/>
  <w15:commentEx w15:paraId="6B83933A" w15:done="0"/>
  <w15:commentEx w15:paraId="2DE8745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EAF4519" w16cex:dateUtc="2026-05-31T05:35:00Z"/>
  <w16cex:commentExtensible w16cex:durableId="6705CF9A" w16cex:dateUtc="2026-05-31T05:45:00Z"/>
  <w16cex:commentExtensible w16cex:durableId="076C328A" w16cex:dateUtc="2026-05-31T05:52:00Z"/>
  <w16cex:commentExtensible w16cex:durableId="59BB083E" w16cex:dateUtc="2026-05-31T07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9A762ED" w16cid:durableId="0EAF4519"/>
  <w16cid:commentId w16cid:paraId="39C05803" w16cid:durableId="6705CF9A"/>
  <w16cid:commentId w16cid:paraId="6B83933A" w16cid:durableId="076C328A"/>
  <w16cid:commentId w16cid:paraId="2DE87458" w16cid:durableId="59BB083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xeon_ssd">
    <w15:presenceInfo w15:providerId="None" w15:userId="xeon_ss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453A"/>
    <w:rsid w:val="00021643"/>
    <w:rsid w:val="00026C0E"/>
    <w:rsid w:val="00031DF2"/>
    <w:rsid w:val="000325D8"/>
    <w:rsid w:val="00034171"/>
    <w:rsid w:val="000347E1"/>
    <w:rsid w:val="00061A05"/>
    <w:rsid w:val="0006550F"/>
    <w:rsid w:val="0007376D"/>
    <w:rsid w:val="000737B2"/>
    <w:rsid w:val="00074F0F"/>
    <w:rsid w:val="0008035D"/>
    <w:rsid w:val="000827A2"/>
    <w:rsid w:val="00084189"/>
    <w:rsid w:val="00084EA8"/>
    <w:rsid w:val="00090672"/>
    <w:rsid w:val="00093D8D"/>
    <w:rsid w:val="00094526"/>
    <w:rsid w:val="000A004B"/>
    <w:rsid w:val="000A06AE"/>
    <w:rsid w:val="000A5140"/>
    <w:rsid w:val="000B7EAC"/>
    <w:rsid w:val="000C45A7"/>
    <w:rsid w:val="000D1017"/>
    <w:rsid w:val="000D55DB"/>
    <w:rsid w:val="000E1575"/>
    <w:rsid w:val="000E50F5"/>
    <w:rsid w:val="000E7EAE"/>
    <w:rsid w:val="000F5501"/>
    <w:rsid w:val="001002CD"/>
    <w:rsid w:val="001016FF"/>
    <w:rsid w:val="00110782"/>
    <w:rsid w:val="00110D50"/>
    <w:rsid w:val="00112725"/>
    <w:rsid w:val="00112792"/>
    <w:rsid w:val="00116F2B"/>
    <w:rsid w:val="00123A52"/>
    <w:rsid w:val="00126604"/>
    <w:rsid w:val="00126864"/>
    <w:rsid w:val="001304D0"/>
    <w:rsid w:val="00131CCA"/>
    <w:rsid w:val="00140008"/>
    <w:rsid w:val="00141ED6"/>
    <w:rsid w:val="00147027"/>
    <w:rsid w:val="00147162"/>
    <w:rsid w:val="00156A70"/>
    <w:rsid w:val="00156EC4"/>
    <w:rsid w:val="001602D9"/>
    <w:rsid w:val="001614F9"/>
    <w:rsid w:val="00162B8E"/>
    <w:rsid w:val="001759E4"/>
    <w:rsid w:val="00192726"/>
    <w:rsid w:val="00193DC0"/>
    <w:rsid w:val="001A0B8F"/>
    <w:rsid w:val="001A49AA"/>
    <w:rsid w:val="001B3024"/>
    <w:rsid w:val="001B7A97"/>
    <w:rsid w:val="001D7450"/>
    <w:rsid w:val="001F0927"/>
    <w:rsid w:val="00204A17"/>
    <w:rsid w:val="0020557F"/>
    <w:rsid w:val="00206663"/>
    <w:rsid w:val="00206F49"/>
    <w:rsid w:val="00210611"/>
    <w:rsid w:val="002139A3"/>
    <w:rsid w:val="00216404"/>
    <w:rsid w:val="0021675A"/>
    <w:rsid w:val="00222920"/>
    <w:rsid w:val="00223448"/>
    <w:rsid w:val="00234A24"/>
    <w:rsid w:val="002358CD"/>
    <w:rsid w:val="00242C76"/>
    <w:rsid w:val="00245DDD"/>
    <w:rsid w:val="00250E7D"/>
    <w:rsid w:val="002616AB"/>
    <w:rsid w:val="002638C1"/>
    <w:rsid w:val="00264837"/>
    <w:rsid w:val="00277B04"/>
    <w:rsid w:val="00283988"/>
    <w:rsid w:val="0028792F"/>
    <w:rsid w:val="002A4021"/>
    <w:rsid w:val="002A4899"/>
    <w:rsid w:val="002A4D23"/>
    <w:rsid w:val="002A4FF1"/>
    <w:rsid w:val="002A657A"/>
    <w:rsid w:val="002B1D51"/>
    <w:rsid w:val="002B1F3B"/>
    <w:rsid w:val="002B439F"/>
    <w:rsid w:val="002B5968"/>
    <w:rsid w:val="002C18E0"/>
    <w:rsid w:val="002C7B6C"/>
    <w:rsid w:val="002D41D3"/>
    <w:rsid w:val="002D4A79"/>
    <w:rsid w:val="002D5799"/>
    <w:rsid w:val="002E5720"/>
    <w:rsid w:val="002F0ECC"/>
    <w:rsid w:val="002F2C01"/>
    <w:rsid w:val="003070C4"/>
    <w:rsid w:val="00320211"/>
    <w:rsid w:val="00322F87"/>
    <w:rsid w:val="00325E07"/>
    <w:rsid w:val="00331993"/>
    <w:rsid w:val="00340B36"/>
    <w:rsid w:val="00341ACE"/>
    <w:rsid w:val="003451A7"/>
    <w:rsid w:val="00351285"/>
    <w:rsid w:val="00352611"/>
    <w:rsid w:val="00355915"/>
    <w:rsid w:val="00356165"/>
    <w:rsid w:val="00356877"/>
    <w:rsid w:val="00357E99"/>
    <w:rsid w:val="00361815"/>
    <w:rsid w:val="00363772"/>
    <w:rsid w:val="00371DD5"/>
    <w:rsid w:val="00376127"/>
    <w:rsid w:val="00381AA1"/>
    <w:rsid w:val="003843D7"/>
    <w:rsid w:val="00384BE1"/>
    <w:rsid w:val="00390659"/>
    <w:rsid w:val="003906B2"/>
    <w:rsid w:val="00393D50"/>
    <w:rsid w:val="00394B22"/>
    <w:rsid w:val="00394F03"/>
    <w:rsid w:val="00395A91"/>
    <w:rsid w:val="003A5AEA"/>
    <w:rsid w:val="003A646E"/>
    <w:rsid w:val="003A7725"/>
    <w:rsid w:val="003B6EAE"/>
    <w:rsid w:val="003B7B25"/>
    <w:rsid w:val="003C4AE3"/>
    <w:rsid w:val="003D3875"/>
    <w:rsid w:val="003D52DF"/>
    <w:rsid w:val="003E2E09"/>
    <w:rsid w:val="003E7F28"/>
    <w:rsid w:val="003E7F8F"/>
    <w:rsid w:val="003F74CD"/>
    <w:rsid w:val="004015C2"/>
    <w:rsid w:val="00411245"/>
    <w:rsid w:val="00414374"/>
    <w:rsid w:val="00415E90"/>
    <w:rsid w:val="00416FD2"/>
    <w:rsid w:val="00417535"/>
    <w:rsid w:val="00420211"/>
    <w:rsid w:val="00423027"/>
    <w:rsid w:val="00426939"/>
    <w:rsid w:val="00435449"/>
    <w:rsid w:val="00443C43"/>
    <w:rsid w:val="00445407"/>
    <w:rsid w:val="0044617A"/>
    <w:rsid w:val="00453D55"/>
    <w:rsid w:val="004541DF"/>
    <w:rsid w:val="00462264"/>
    <w:rsid w:val="00473BD3"/>
    <w:rsid w:val="00474A30"/>
    <w:rsid w:val="00475DF7"/>
    <w:rsid w:val="0048460B"/>
    <w:rsid w:val="00486F2C"/>
    <w:rsid w:val="004A40D1"/>
    <w:rsid w:val="004A5C3A"/>
    <w:rsid w:val="004B2EDB"/>
    <w:rsid w:val="004B5BBF"/>
    <w:rsid w:val="004B68AE"/>
    <w:rsid w:val="004C5D10"/>
    <w:rsid w:val="004D0025"/>
    <w:rsid w:val="004D0B2B"/>
    <w:rsid w:val="004D7061"/>
    <w:rsid w:val="004E108D"/>
    <w:rsid w:val="004E73D4"/>
    <w:rsid w:val="005004FB"/>
    <w:rsid w:val="005047D2"/>
    <w:rsid w:val="00505539"/>
    <w:rsid w:val="0050687E"/>
    <w:rsid w:val="00507266"/>
    <w:rsid w:val="00507907"/>
    <w:rsid w:val="0051321D"/>
    <w:rsid w:val="00515AA3"/>
    <w:rsid w:val="00516B33"/>
    <w:rsid w:val="00520843"/>
    <w:rsid w:val="00522B5B"/>
    <w:rsid w:val="0052440C"/>
    <w:rsid w:val="00537684"/>
    <w:rsid w:val="00541074"/>
    <w:rsid w:val="00552AA7"/>
    <w:rsid w:val="00561EB4"/>
    <w:rsid w:val="0056443E"/>
    <w:rsid w:val="0056469F"/>
    <w:rsid w:val="00573537"/>
    <w:rsid w:val="00574A9B"/>
    <w:rsid w:val="0057524C"/>
    <w:rsid w:val="005763C3"/>
    <w:rsid w:val="00581049"/>
    <w:rsid w:val="00581551"/>
    <w:rsid w:val="005815A9"/>
    <w:rsid w:val="00592D1B"/>
    <w:rsid w:val="00593C57"/>
    <w:rsid w:val="00596BA8"/>
    <w:rsid w:val="005B6EA7"/>
    <w:rsid w:val="005B7233"/>
    <w:rsid w:val="005C227D"/>
    <w:rsid w:val="005C3755"/>
    <w:rsid w:val="005C5B7F"/>
    <w:rsid w:val="005D1729"/>
    <w:rsid w:val="005D32F1"/>
    <w:rsid w:val="005D61EC"/>
    <w:rsid w:val="005E51FC"/>
    <w:rsid w:val="005F331D"/>
    <w:rsid w:val="00604DBC"/>
    <w:rsid w:val="00607463"/>
    <w:rsid w:val="0060746B"/>
    <w:rsid w:val="006159CC"/>
    <w:rsid w:val="00615E2B"/>
    <w:rsid w:val="00621FAF"/>
    <w:rsid w:val="00622012"/>
    <w:rsid w:val="00623599"/>
    <w:rsid w:val="006241C1"/>
    <w:rsid w:val="00624857"/>
    <w:rsid w:val="006270BF"/>
    <w:rsid w:val="0062724D"/>
    <w:rsid w:val="006317CF"/>
    <w:rsid w:val="00651AA9"/>
    <w:rsid w:val="00651F8E"/>
    <w:rsid w:val="00654960"/>
    <w:rsid w:val="006565E1"/>
    <w:rsid w:val="00664B88"/>
    <w:rsid w:val="006721FE"/>
    <w:rsid w:val="006765D7"/>
    <w:rsid w:val="006769B4"/>
    <w:rsid w:val="00681A90"/>
    <w:rsid w:val="00681EE6"/>
    <w:rsid w:val="0068274B"/>
    <w:rsid w:val="00683D88"/>
    <w:rsid w:val="00684B83"/>
    <w:rsid w:val="00690F2A"/>
    <w:rsid w:val="006A24C3"/>
    <w:rsid w:val="006B4872"/>
    <w:rsid w:val="006B6106"/>
    <w:rsid w:val="006C7EA1"/>
    <w:rsid w:val="006D51C4"/>
    <w:rsid w:val="006D5D13"/>
    <w:rsid w:val="006D6714"/>
    <w:rsid w:val="006D6B85"/>
    <w:rsid w:val="006E30D1"/>
    <w:rsid w:val="006E4AB9"/>
    <w:rsid w:val="006F49B8"/>
    <w:rsid w:val="006F610E"/>
    <w:rsid w:val="00700901"/>
    <w:rsid w:val="007066E1"/>
    <w:rsid w:val="00707496"/>
    <w:rsid w:val="007111AC"/>
    <w:rsid w:val="007147D4"/>
    <w:rsid w:val="00714ABB"/>
    <w:rsid w:val="007154BD"/>
    <w:rsid w:val="00716E16"/>
    <w:rsid w:val="0072389C"/>
    <w:rsid w:val="0072749C"/>
    <w:rsid w:val="0073293F"/>
    <w:rsid w:val="00741AF1"/>
    <w:rsid w:val="007431E4"/>
    <w:rsid w:val="00760A0D"/>
    <w:rsid w:val="007649B5"/>
    <w:rsid w:val="007649EA"/>
    <w:rsid w:val="00764CBB"/>
    <w:rsid w:val="00770FC8"/>
    <w:rsid w:val="00772E97"/>
    <w:rsid w:val="007736E6"/>
    <w:rsid w:val="0078052A"/>
    <w:rsid w:val="007846DD"/>
    <w:rsid w:val="00795D96"/>
    <w:rsid w:val="00796AA0"/>
    <w:rsid w:val="007A1B5F"/>
    <w:rsid w:val="007A32DC"/>
    <w:rsid w:val="007A4BA2"/>
    <w:rsid w:val="007A5477"/>
    <w:rsid w:val="007B2450"/>
    <w:rsid w:val="007B4924"/>
    <w:rsid w:val="007B61E6"/>
    <w:rsid w:val="007C2566"/>
    <w:rsid w:val="007C7DAD"/>
    <w:rsid w:val="007D3272"/>
    <w:rsid w:val="007D40EA"/>
    <w:rsid w:val="007E1114"/>
    <w:rsid w:val="007F76A4"/>
    <w:rsid w:val="00801898"/>
    <w:rsid w:val="00805DD6"/>
    <w:rsid w:val="0080637A"/>
    <w:rsid w:val="00810421"/>
    <w:rsid w:val="00824D26"/>
    <w:rsid w:val="0082599F"/>
    <w:rsid w:val="008262A5"/>
    <w:rsid w:val="00832752"/>
    <w:rsid w:val="008353D2"/>
    <w:rsid w:val="0083645B"/>
    <w:rsid w:val="0084020D"/>
    <w:rsid w:val="00841146"/>
    <w:rsid w:val="00845853"/>
    <w:rsid w:val="00854645"/>
    <w:rsid w:val="00855B00"/>
    <w:rsid w:val="00863A31"/>
    <w:rsid w:val="00865BBC"/>
    <w:rsid w:val="00866F39"/>
    <w:rsid w:val="008733DF"/>
    <w:rsid w:val="0087345C"/>
    <w:rsid w:val="0087489C"/>
    <w:rsid w:val="008776EE"/>
    <w:rsid w:val="008815CB"/>
    <w:rsid w:val="00883ADC"/>
    <w:rsid w:val="00885745"/>
    <w:rsid w:val="00885A97"/>
    <w:rsid w:val="00887D7B"/>
    <w:rsid w:val="00892BEC"/>
    <w:rsid w:val="00895C07"/>
    <w:rsid w:val="008A0B55"/>
    <w:rsid w:val="008A210B"/>
    <w:rsid w:val="008A782A"/>
    <w:rsid w:val="008B2348"/>
    <w:rsid w:val="008B31A9"/>
    <w:rsid w:val="008B66C9"/>
    <w:rsid w:val="008B7B9A"/>
    <w:rsid w:val="008C247C"/>
    <w:rsid w:val="008C2C58"/>
    <w:rsid w:val="008C2FE2"/>
    <w:rsid w:val="008C72D1"/>
    <w:rsid w:val="008D2C3D"/>
    <w:rsid w:val="008D4C53"/>
    <w:rsid w:val="008E3C59"/>
    <w:rsid w:val="008E4359"/>
    <w:rsid w:val="008E4984"/>
    <w:rsid w:val="008E688D"/>
    <w:rsid w:val="008F35AC"/>
    <w:rsid w:val="008F3639"/>
    <w:rsid w:val="008F643C"/>
    <w:rsid w:val="00901DBF"/>
    <w:rsid w:val="00902FA4"/>
    <w:rsid w:val="00903768"/>
    <w:rsid w:val="00904F4D"/>
    <w:rsid w:val="00905695"/>
    <w:rsid w:val="00910019"/>
    <w:rsid w:val="00914F21"/>
    <w:rsid w:val="00927FAB"/>
    <w:rsid w:val="00930775"/>
    <w:rsid w:val="00931203"/>
    <w:rsid w:val="00932DD5"/>
    <w:rsid w:val="00943D79"/>
    <w:rsid w:val="00944667"/>
    <w:rsid w:val="00947272"/>
    <w:rsid w:val="00947DDC"/>
    <w:rsid w:val="00951116"/>
    <w:rsid w:val="00956A45"/>
    <w:rsid w:val="00960CFC"/>
    <w:rsid w:val="00962AB9"/>
    <w:rsid w:val="009726DE"/>
    <w:rsid w:val="00972CF7"/>
    <w:rsid w:val="009761FB"/>
    <w:rsid w:val="00980327"/>
    <w:rsid w:val="009862F4"/>
    <w:rsid w:val="00987B84"/>
    <w:rsid w:val="00993ACA"/>
    <w:rsid w:val="00995500"/>
    <w:rsid w:val="00996796"/>
    <w:rsid w:val="009A0BF5"/>
    <w:rsid w:val="009B5CC0"/>
    <w:rsid w:val="009C73A4"/>
    <w:rsid w:val="009D7C13"/>
    <w:rsid w:val="009E2D0F"/>
    <w:rsid w:val="00A01B55"/>
    <w:rsid w:val="00A05515"/>
    <w:rsid w:val="00A07748"/>
    <w:rsid w:val="00A1102D"/>
    <w:rsid w:val="00A15C66"/>
    <w:rsid w:val="00A17CD1"/>
    <w:rsid w:val="00A26AE9"/>
    <w:rsid w:val="00A26B7B"/>
    <w:rsid w:val="00A3109E"/>
    <w:rsid w:val="00A3636C"/>
    <w:rsid w:val="00A37019"/>
    <w:rsid w:val="00A41681"/>
    <w:rsid w:val="00A51AB9"/>
    <w:rsid w:val="00A573A9"/>
    <w:rsid w:val="00A64406"/>
    <w:rsid w:val="00A678C9"/>
    <w:rsid w:val="00A719C0"/>
    <w:rsid w:val="00A73453"/>
    <w:rsid w:val="00A76EA8"/>
    <w:rsid w:val="00A7709D"/>
    <w:rsid w:val="00A805C0"/>
    <w:rsid w:val="00A83450"/>
    <w:rsid w:val="00A83912"/>
    <w:rsid w:val="00A83D65"/>
    <w:rsid w:val="00A84028"/>
    <w:rsid w:val="00A849C1"/>
    <w:rsid w:val="00AA580B"/>
    <w:rsid w:val="00AB1175"/>
    <w:rsid w:val="00AB199D"/>
    <w:rsid w:val="00AC04C1"/>
    <w:rsid w:val="00AC37DB"/>
    <w:rsid w:val="00AC57A6"/>
    <w:rsid w:val="00AC6228"/>
    <w:rsid w:val="00AC77B7"/>
    <w:rsid w:val="00AD1B3E"/>
    <w:rsid w:val="00AD1CE9"/>
    <w:rsid w:val="00AD6898"/>
    <w:rsid w:val="00AE27B1"/>
    <w:rsid w:val="00AE48BB"/>
    <w:rsid w:val="00AF1D4F"/>
    <w:rsid w:val="00AF78E0"/>
    <w:rsid w:val="00B021FE"/>
    <w:rsid w:val="00B023A1"/>
    <w:rsid w:val="00B033D7"/>
    <w:rsid w:val="00B13293"/>
    <w:rsid w:val="00B154A1"/>
    <w:rsid w:val="00B22AC9"/>
    <w:rsid w:val="00B324F1"/>
    <w:rsid w:val="00B33E3A"/>
    <w:rsid w:val="00B37C45"/>
    <w:rsid w:val="00B4726D"/>
    <w:rsid w:val="00B509A7"/>
    <w:rsid w:val="00B525A8"/>
    <w:rsid w:val="00B56BFE"/>
    <w:rsid w:val="00B63528"/>
    <w:rsid w:val="00B70450"/>
    <w:rsid w:val="00B76180"/>
    <w:rsid w:val="00B77616"/>
    <w:rsid w:val="00B7783E"/>
    <w:rsid w:val="00B93DE5"/>
    <w:rsid w:val="00BA643E"/>
    <w:rsid w:val="00BA7334"/>
    <w:rsid w:val="00BB19A8"/>
    <w:rsid w:val="00BB5F49"/>
    <w:rsid w:val="00BB7242"/>
    <w:rsid w:val="00BD489F"/>
    <w:rsid w:val="00BD58F0"/>
    <w:rsid w:val="00BE43FE"/>
    <w:rsid w:val="00C005C8"/>
    <w:rsid w:val="00C055C8"/>
    <w:rsid w:val="00C136D9"/>
    <w:rsid w:val="00C1563B"/>
    <w:rsid w:val="00C23DEF"/>
    <w:rsid w:val="00C2560F"/>
    <w:rsid w:val="00C26DA0"/>
    <w:rsid w:val="00C321F5"/>
    <w:rsid w:val="00C365AA"/>
    <w:rsid w:val="00C40F1C"/>
    <w:rsid w:val="00C44176"/>
    <w:rsid w:val="00C47C4E"/>
    <w:rsid w:val="00C5658D"/>
    <w:rsid w:val="00C614AC"/>
    <w:rsid w:val="00C7323B"/>
    <w:rsid w:val="00C7366C"/>
    <w:rsid w:val="00C741F8"/>
    <w:rsid w:val="00C7589D"/>
    <w:rsid w:val="00C77969"/>
    <w:rsid w:val="00C77E42"/>
    <w:rsid w:val="00C81F23"/>
    <w:rsid w:val="00C94C2C"/>
    <w:rsid w:val="00CB0D7C"/>
    <w:rsid w:val="00CB155F"/>
    <w:rsid w:val="00CC2ACB"/>
    <w:rsid w:val="00CE291A"/>
    <w:rsid w:val="00CE3413"/>
    <w:rsid w:val="00CF0E33"/>
    <w:rsid w:val="00CF43BE"/>
    <w:rsid w:val="00D01A5E"/>
    <w:rsid w:val="00D02E7C"/>
    <w:rsid w:val="00D03686"/>
    <w:rsid w:val="00D048A9"/>
    <w:rsid w:val="00D05F77"/>
    <w:rsid w:val="00D07C8B"/>
    <w:rsid w:val="00D11DDA"/>
    <w:rsid w:val="00D1756A"/>
    <w:rsid w:val="00D20D67"/>
    <w:rsid w:val="00D21680"/>
    <w:rsid w:val="00D2677E"/>
    <w:rsid w:val="00D322C8"/>
    <w:rsid w:val="00D34426"/>
    <w:rsid w:val="00D400C8"/>
    <w:rsid w:val="00D40774"/>
    <w:rsid w:val="00D4400F"/>
    <w:rsid w:val="00D544EB"/>
    <w:rsid w:val="00D54A84"/>
    <w:rsid w:val="00D56314"/>
    <w:rsid w:val="00D567B3"/>
    <w:rsid w:val="00D70804"/>
    <w:rsid w:val="00D73247"/>
    <w:rsid w:val="00D81E00"/>
    <w:rsid w:val="00D87456"/>
    <w:rsid w:val="00DB4CC8"/>
    <w:rsid w:val="00DB5B26"/>
    <w:rsid w:val="00DB6971"/>
    <w:rsid w:val="00DE0E51"/>
    <w:rsid w:val="00DE1452"/>
    <w:rsid w:val="00DE3D9A"/>
    <w:rsid w:val="00DE758C"/>
    <w:rsid w:val="00DE763F"/>
    <w:rsid w:val="00DF1117"/>
    <w:rsid w:val="00DF4B02"/>
    <w:rsid w:val="00DF4BFB"/>
    <w:rsid w:val="00DF68FB"/>
    <w:rsid w:val="00E004BC"/>
    <w:rsid w:val="00E02636"/>
    <w:rsid w:val="00E076D9"/>
    <w:rsid w:val="00E22459"/>
    <w:rsid w:val="00E3731B"/>
    <w:rsid w:val="00E5270D"/>
    <w:rsid w:val="00E5587A"/>
    <w:rsid w:val="00E62D89"/>
    <w:rsid w:val="00E844DC"/>
    <w:rsid w:val="00E847DD"/>
    <w:rsid w:val="00E90F79"/>
    <w:rsid w:val="00E92F2E"/>
    <w:rsid w:val="00E935C6"/>
    <w:rsid w:val="00E94AEE"/>
    <w:rsid w:val="00EA7000"/>
    <w:rsid w:val="00EB1752"/>
    <w:rsid w:val="00EB57CC"/>
    <w:rsid w:val="00EB5BB7"/>
    <w:rsid w:val="00EC0658"/>
    <w:rsid w:val="00EC330C"/>
    <w:rsid w:val="00EC4694"/>
    <w:rsid w:val="00EC53E3"/>
    <w:rsid w:val="00EC5BEB"/>
    <w:rsid w:val="00EC632F"/>
    <w:rsid w:val="00EC633C"/>
    <w:rsid w:val="00EE12F0"/>
    <w:rsid w:val="00EE2612"/>
    <w:rsid w:val="00EE37F5"/>
    <w:rsid w:val="00EE5475"/>
    <w:rsid w:val="00EE6018"/>
    <w:rsid w:val="00EE65D3"/>
    <w:rsid w:val="00EE687B"/>
    <w:rsid w:val="00EF0AEE"/>
    <w:rsid w:val="00F008CD"/>
    <w:rsid w:val="00F00EB5"/>
    <w:rsid w:val="00F04658"/>
    <w:rsid w:val="00F0482E"/>
    <w:rsid w:val="00F071E9"/>
    <w:rsid w:val="00F109F1"/>
    <w:rsid w:val="00F2275A"/>
    <w:rsid w:val="00F2638A"/>
    <w:rsid w:val="00F31616"/>
    <w:rsid w:val="00F3389B"/>
    <w:rsid w:val="00F35630"/>
    <w:rsid w:val="00F439D1"/>
    <w:rsid w:val="00F4518D"/>
    <w:rsid w:val="00F468BF"/>
    <w:rsid w:val="00F50231"/>
    <w:rsid w:val="00F5115E"/>
    <w:rsid w:val="00F548B0"/>
    <w:rsid w:val="00F54D08"/>
    <w:rsid w:val="00F564B9"/>
    <w:rsid w:val="00F63D24"/>
    <w:rsid w:val="00F76BC7"/>
    <w:rsid w:val="00F86185"/>
    <w:rsid w:val="00F9231E"/>
    <w:rsid w:val="00F96030"/>
    <w:rsid w:val="00FA5E0A"/>
    <w:rsid w:val="00FB514F"/>
    <w:rsid w:val="00FB5916"/>
    <w:rsid w:val="00FC19D7"/>
    <w:rsid w:val="00FC1FE6"/>
    <w:rsid w:val="00FC253A"/>
    <w:rsid w:val="00FD5058"/>
    <w:rsid w:val="00FD7F1B"/>
    <w:rsid w:val="00FE5D03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DB5B2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B5B2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DB5B2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B5B2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DB5B2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117" Type="http://schemas.openxmlformats.org/officeDocument/2006/relationships/image" Target="media/image60.png"/><Relationship Id="rId21" Type="http://schemas.openxmlformats.org/officeDocument/2006/relationships/image" Target="media/image7.wmf"/><Relationship Id="rId42" Type="http://schemas.openxmlformats.org/officeDocument/2006/relationships/oleObject" Target="embeddings/oleObject15.bin"/><Relationship Id="rId47" Type="http://schemas.openxmlformats.org/officeDocument/2006/relationships/image" Target="media/image22.png"/><Relationship Id="rId63" Type="http://schemas.openxmlformats.org/officeDocument/2006/relationships/oleObject" Target="embeddings/oleObject23.bin"/><Relationship Id="rId68" Type="http://schemas.openxmlformats.org/officeDocument/2006/relationships/image" Target="media/image34.wmf"/><Relationship Id="rId84" Type="http://schemas.openxmlformats.org/officeDocument/2006/relationships/oleObject" Target="embeddings/oleObject33.bin"/><Relationship Id="rId89" Type="http://schemas.openxmlformats.org/officeDocument/2006/relationships/oleObject" Target="embeddings/oleObject35.bin"/><Relationship Id="rId112" Type="http://schemas.openxmlformats.org/officeDocument/2006/relationships/image" Target="media/image57.png"/><Relationship Id="rId133" Type="http://schemas.openxmlformats.org/officeDocument/2006/relationships/image" Target="media/image69.wmf"/><Relationship Id="rId138" Type="http://schemas.openxmlformats.org/officeDocument/2006/relationships/oleObject" Target="embeddings/oleObject58.bin"/><Relationship Id="rId154" Type="http://schemas.openxmlformats.org/officeDocument/2006/relationships/theme" Target="theme/theme1.xml"/><Relationship Id="rId16" Type="http://schemas.openxmlformats.org/officeDocument/2006/relationships/image" Target="media/image4.wmf"/><Relationship Id="rId107" Type="http://schemas.openxmlformats.org/officeDocument/2006/relationships/oleObject" Target="embeddings/oleObject44.bin"/><Relationship Id="rId11" Type="http://schemas.microsoft.com/office/2011/relationships/commentsExtended" Target="commentsExtended.xml"/><Relationship Id="rId32" Type="http://schemas.openxmlformats.org/officeDocument/2006/relationships/oleObject" Target="embeddings/oleObject10.bin"/><Relationship Id="rId37" Type="http://schemas.openxmlformats.org/officeDocument/2006/relationships/image" Target="media/image16.wmf"/><Relationship Id="rId53" Type="http://schemas.openxmlformats.org/officeDocument/2006/relationships/image" Target="media/image26.png"/><Relationship Id="rId58" Type="http://schemas.openxmlformats.org/officeDocument/2006/relationships/image" Target="media/image29.wmf"/><Relationship Id="rId74" Type="http://schemas.openxmlformats.org/officeDocument/2006/relationships/oleObject" Target="embeddings/oleObject28.bin"/><Relationship Id="rId79" Type="http://schemas.openxmlformats.org/officeDocument/2006/relationships/image" Target="media/image40.wmf"/><Relationship Id="rId102" Type="http://schemas.openxmlformats.org/officeDocument/2006/relationships/image" Target="media/image52.wmf"/><Relationship Id="rId123" Type="http://schemas.openxmlformats.org/officeDocument/2006/relationships/image" Target="media/image64.wmf"/><Relationship Id="rId128" Type="http://schemas.openxmlformats.org/officeDocument/2006/relationships/oleObject" Target="embeddings/oleObject53.bin"/><Relationship Id="rId144" Type="http://schemas.openxmlformats.org/officeDocument/2006/relationships/oleObject" Target="embeddings/oleObject59.bin"/><Relationship Id="rId149" Type="http://schemas.openxmlformats.org/officeDocument/2006/relationships/image" Target="media/image79.wmf"/><Relationship Id="rId5" Type="http://schemas.openxmlformats.org/officeDocument/2006/relationships/webSettings" Target="webSettings.xml"/><Relationship Id="rId90" Type="http://schemas.openxmlformats.org/officeDocument/2006/relationships/image" Target="media/image46.wmf"/><Relationship Id="rId95" Type="http://schemas.openxmlformats.org/officeDocument/2006/relationships/oleObject" Target="embeddings/oleObject38.bin"/><Relationship Id="rId22" Type="http://schemas.openxmlformats.org/officeDocument/2006/relationships/oleObject" Target="embeddings/oleObject6.bin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image" Target="media/image23.png"/><Relationship Id="rId64" Type="http://schemas.openxmlformats.org/officeDocument/2006/relationships/image" Target="media/image32.wmf"/><Relationship Id="rId69" Type="http://schemas.openxmlformats.org/officeDocument/2006/relationships/oleObject" Target="embeddings/oleObject26.bin"/><Relationship Id="rId113" Type="http://schemas.openxmlformats.org/officeDocument/2006/relationships/image" Target="media/image58.wmf"/><Relationship Id="rId118" Type="http://schemas.openxmlformats.org/officeDocument/2006/relationships/image" Target="media/image61.png"/><Relationship Id="rId134" Type="http://schemas.openxmlformats.org/officeDocument/2006/relationships/oleObject" Target="embeddings/oleObject56.bin"/><Relationship Id="rId139" Type="http://schemas.openxmlformats.org/officeDocument/2006/relationships/image" Target="media/image72.png"/><Relationship Id="rId80" Type="http://schemas.openxmlformats.org/officeDocument/2006/relationships/oleObject" Target="embeddings/oleObject31.bin"/><Relationship Id="rId85" Type="http://schemas.openxmlformats.org/officeDocument/2006/relationships/image" Target="media/image43.png"/><Relationship Id="rId150" Type="http://schemas.openxmlformats.org/officeDocument/2006/relationships/oleObject" Target="embeddings/oleObject62.bin"/><Relationship Id="rId12" Type="http://schemas.microsoft.com/office/2016/09/relationships/commentsIds" Target="commentsIds.xml"/><Relationship Id="rId17" Type="http://schemas.openxmlformats.org/officeDocument/2006/relationships/oleObject" Target="embeddings/oleObject4.bin"/><Relationship Id="rId25" Type="http://schemas.openxmlformats.org/officeDocument/2006/relationships/oleObject" Target="embeddings/oleObject7.bin"/><Relationship Id="rId33" Type="http://schemas.openxmlformats.org/officeDocument/2006/relationships/image" Target="media/image14.wmf"/><Relationship Id="rId38" Type="http://schemas.openxmlformats.org/officeDocument/2006/relationships/oleObject" Target="embeddings/oleObject13.bin"/><Relationship Id="rId46" Type="http://schemas.openxmlformats.org/officeDocument/2006/relationships/image" Target="media/image21.png"/><Relationship Id="rId59" Type="http://schemas.openxmlformats.org/officeDocument/2006/relationships/oleObject" Target="embeddings/oleObject21.bin"/><Relationship Id="rId67" Type="http://schemas.openxmlformats.org/officeDocument/2006/relationships/oleObject" Target="embeddings/oleObject25.bin"/><Relationship Id="rId103" Type="http://schemas.openxmlformats.org/officeDocument/2006/relationships/oleObject" Target="embeddings/oleObject42.bin"/><Relationship Id="rId108" Type="http://schemas.openxmlformats.org/officeDocument/2006/relationships/image" Target="media/image55.wmf"/><Relationship Id="rId116" Type="http://schemas.openxmlformats.org/officeDocument/2006/relationships/oleObject" Target="embeddings/oleObject48.bin"/><Relationship Id="rId124" Type="http://schemas.openxmlformats.org/officeDocument/2006/relationships/oleObject" Target="embeddings/oleObject51.bin"/><Relationship Id="rId129" Type="http://schemas.openxmlformats.org/officeDocument/2006/relationships/image" Target="media/image67.wmf"/><Relationship Id="rId137" Type="http://schemas.openxmlformats.org/officeDocument/2006/relationships/image" Target="media/image71.wmf"/><Relationship Id="rId20" Type="http://schemas.openxmlformats.org/officeDocument/2006/relationships/image" Target="media/image6.png"/><Relationship Id="rId41" Type="http://schemas.openxmlformats.org/officeDocument/2006/relationships/image" Target="media/image18.wmf"/><Relationship Id="rId54" Type="http://schemas.openxmlformats.org/officeDocument/2006/relationships/image" Target="media/image27.wmf"/><Relationship Id="rId62" Type="http://schemas.openxmlformats.org/officeDocument/2006/relationships/image" Target="media/image31.wmf"/><Relationship Id="rId70" Type="http://schemas.openxmlformats.org/officeDocument/2006/relationships/image" Target="media/image35.png"/><Relationship Id="rId75" Type="http://schemas.openxmlformats.org/officeDocument/2006/relationships/image" Target="media/image38.wmf"/><Relationship Id="rId83" Type="http://schemas.openxmlformats.org/officeDocument/2006/relationships/image" Target="media/image42.wmf"/><Relationship Id="rId88" Type="http://schemas.openxmlformats.org/officeDocument/2006/relationships/image" Target="media/image45.wmf"/><Relationship Id="rId91" Type="http://schemas.openxmlformats.org/officeDocument/2006/relationships/oleObject" Target="embeddings/oleObject36.bin"/><Relationship Id="rId96" Type="http://schemas.openxmlformats.org/officeDocument/2006/relationships/image" Target="media/image49.wmf"/><Relationship Id="rId111" Type="http://schemas.openxmlformats.org/officeDocument/2006/relationships/oleObject" Target="embeddings/oleObject46.bin"/><Relationship Id="rId132" Type="http://schemas.openxmlformats.org/officeDocument/2006/relationships/oleObject" Target="embeddings/oleObject55.bin"/><Relationship Id="rId140" Type="http://schemas.openxmlformats.org/officeDocument/2006/relationships/image" Target="media/image73.png"/><Relationship Id="rId145" Type="http://schemas.openxmlformats.org/officeDocument/2006/relationships/image" Target="media/image77.wmf"/><Relationship Id="rId153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5" Type="http://schemas.openxmlformats.org/officeDocument/2006/relationships/oleObject" Target="embeddings/oleObject3.bin"/><Relationship Id="rId23" Type="http://schemas.openxmlformats.org/officeDocument/2006/relationships/image" Target="media/image8.png"/><Relationship Id="rId28" Type="http://schemas.openxmlformats.org/officeDocument/2006/relationships/oleObject" Target="embeddings/oleObject8.bin"/><Relationship Id="rId36" Type="http://schemas.openxmlformats.org/officeDocument/2006/relationships/oleObject" Target="embeddings/oleObject12.bin"/><Relationship Id="rId49" Type="http://schemas.openxmlformats.org/officeDocument/2006/relationships/image" Target="media/image24.wmf"/><Relationship Id="rId57" Type="http://schemas.openxmlformats.org/officeDocument/2006/relationships/oleObject" Target="embeddings/oleObject20.bin"/><Relationship Id="rId106" Type="http://schemas.openxmlformats.org/officeDocument/2006/relationships/image" Target="media/image54.wmf"/><Relationship Id="rId114" Type="http://schemas.openxmlformats.org/officeDocument/2006/relationships/oleObject" Target="embeddings/oleObject47.bin"/><Relationship Id="rId119" Type="http://schemas.openxmlformats.org/officeDocument/2006/relationships/image" Target="media/image62.wmf"/><Relationship Id="rId127" Type="http://schemas.openxmlformats.org/officeDocument/2006/relationships/image" Target="media/image66.wmf"/><Relationship Id="rId10" Type="http://schemas.openxmlformats.org/officeDocument/2006/relationships/comments" Target="comments.xml"/><Relationship Id="rId31" Type="http://schemas.openxmlformats.org/officeDocument/2006/relationships/image" Target="media/image13.wmf"/><Relationship Id="rId44" Type="http://schemas.openxmlformats.org/officeDocument/2006/relationships/oleObject" Target="embeddings/oleObject16.bin"/><Relationship Id="rId52" Type="http://schemas.openxmlformats.org/officeDocument/2006/relationships/oleObject" Target="embeddings/oleObject18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4.bin"/><Relationship Id="rId73" Type="http://schemas.openxmlformats.org/officeDocument/2006/relationships/image" Target="media/image37.wmf"/><Relationship Id="rId78" Type="http://schemas.openxmlformats.org/officeDocument/2006/relationships/oleObject" Target="embeddings/oleObject30.bin"/><Relationship Id="rId81" Type="http://schemas.openxmlformats.org/officeDocument/2006/relationships/image" Target="media/image41.wmf"/><Relationship Id="rId86" Type="http://schemas.openxmlformats.org/officeDocument/2006/relationships/image" Target="media/image44.wmf"/><Relationship Id="rId94" Type="http://schemas.openxmlformats.org/officeDocument/2006/relationships/image" Target="media/image48.wmf"/><Relationship Id="rId99" Type="http://schemas.openxmlformats.org/officeDocument/2006/relationships/oleObject" Target="embeddings/oleObject40.bin"/><Relationship Id="rId101" Type="http://schemas.openxmlformats.org/officeDocument/2006/relationships/oleObject" Target="embeddings/oleObject41.bin"/><Relationship Id="rId122" Type="http://schemas.openxmlformats.org/officeDocument/2006/relationships/oleObject" Target="embeddings/oleObject50.bin"/><Relationship Id="rId130" Type="http://schemas.openxmlformats.org/officeDocument/2006/relationships/oleObject" Target="embeddings/oleObject54.bin"/><Relationship Id="rId135" Type="http://schemas.openxmlformats.org/officeDocument/2006/relationships/image" Target="media/image70.wmf"/><Relationship Id="rId143" Type="http://schemas.openxmlformats.org/officeDocument/2006/relationships/image" Target="media/image76.wmf"/><Relationship Id="rId148" Type="http://schemas.openxmlformats.org/officeDocument/2006/relationships/oleObject" Target="embeddings/oleObject61.bin"/><Relationship Id="rId151" Type="http://schemas.openxmlformats.org/officeDocument/2006/relationships/image" Target="media/image80.png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13" Type="http://schemas.microsoft.com/office/2018/08/relationships/commentsExtensible" Target="commentsExtensible.xml"/><Relationship Id="rId18" Type="http://schemas.openxmlformats.org/officeDocument/2006/relationships/image" Target="media/image5.wmf"/><Relationship Id="rId39" Type="http://schemas.openxmlformats.org/officeDocument/2006/relationships/image" Target="media/image17.wmf"/><Relationship Id="rId109" Type="http://schemas.openxmlformats.org/officeDocument/2006/relationships/oleObject" Target="embeddings/oleObject45.bin"/><Relationship Id="rId34" Type="http://schemas.openxmlformats.org/officeDocument/2006/relationships/oleObject" Target="embeddings/oleObject11.bin"/><Relationship Id="rId50" Type="http://schemas.openxmlformats.org/officeDocument/2006/relationships/oleObject" Target="embeddings/oleObject17.bin"/><Relationship Id="rId55" Type="http://schemas.openxmlformats.org/officeDocument/2006/relationships/oleObject" Target="embeddings/oleObject19.bin"/><Relationship Id="rId76" Type="http://schemas.openxmlformats.org/officeDocument/2006/relationships/oleObject" Target="embeddings/oleObject29.bin"/><Relationship Id="rId97" Type="http://schemas.openxmlformats.org/officeDocument/2006/relationships/oleObject" Target="embeddings/oleObject39.bin"/><Relationship Id="rId104" Type="http://schemas.openxmlformats.org/officeDocument/2006/relationships/image" Target="media/image53.wmf"/><Relationship Id="rId120" Type="http://schemas.openxmlformats.org/officeDocument/2006/relationships/oleObject" Target="embeddings/oleObject49.bin"/><Relationship Id="rId125" Type="http://schemas.openxmlformats.org/officeDocument/2006/relationships/image" Target="media/image65.wmf"/><Relationship Id="rId141" Type="http://schemas.openxmlformats.org/officeDocument/2006/relationships/image" Target="media/image74.png"/><Relationship Id="rId146" Type="http://schemas.openxmlformats.org/officeDocument/2006/relationships/oleObject" Target="embeddings/oleObject60.bin"/><Relationship Id="rId7" Type="http://schemas.openxmlformats.org/officeDocument/2006/relationships/oleObject" Target="embeddings/oleObject1.bin"/><Relationship Id="rId71" Type="http://schemas.openxmlformats.org/officeDocument/2006/relationships/image" Target="media/image36.wmf"/><Relationship Id="rId92" Type="http://schemas.openxmlformats.org/officeDocument/2006/relationships/image" Target="media/image47.wmf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image" Target="media/image9.wmf"/><Relationship Id="rId40" Type="http://schemas.openxmlformats.org/officeDocument/2006/relationships/oleObject" Target="embeddings/oleObject14.bin"/><Relationship Id="rId45" Type="http://schemas.openxmlformats.org/officeDocument/2006/relationships/image" Target="media/image20.png"/><Relationship Id="rId66" Type="http://schemas.openxmlformats.org/officeDocument/2006/relationships/image" Target="media/image33.wmf"/><Relationship Id="rId87" Type="http://schemas.openxmlformats.org/officeDocument/2006/relationships/oleObject" Target="embeddings/oleObject34.bin"/><Relationship Id="rId110" Type="http://schemas.openxmlformats.org/officeDocument/2006/relationships/image" Target="media/image56.wmf"/><Relationship Id="rId115" Type="http://schemas.openxmlformats.org/officeDocument/2006/relationships/image" Target="media/image59.wmf"/><Relationship Id="rId131" Type="http://schemas.openxmlformats.org/officeDocument/2006/relationships/image" Target="media/image68.wmf"/><Relationship Id="rId136" Type="http://schemas.openxmlformats.org/officeDocument/2006/relationships/oleObject" Target="embeddings/oleObject57.bin"/><Relationship Id="rId61" Type="http://schemas.openxmlformats.org/officeDocument/2006/relationships/oleObject" Target="embeddings/oleObject22.bin"/><Relationship Id="rId82" Type="http://schemas.openxmlformats.org/officeDocument/2006/relationships/oleObject" Target="embeddings/oleObject32.bin"/><Relationship Id="rId152" Type="http://schemas.openxmlformats.org/officeDocument/2006/relationships/fontTable" Target="fontTable.xml"/><Relationship Id="rId19" Type="http://schemas.openxmlformats.org/officeDocument/2006/relationships/oleObject" Target="embeddings/oleObject5.bin"/><Relationship Id="rId14" Type="http://schemas.openxmlformats.org/officeDocument/2006/relationships/image" Target="media/image3.wmf"/><Relationship Id="rId30" Type="http://schemas.openxmlformats.org/officeDocument/2006/relationships/oleObject" Target="embeddings/oleObject9.bin"/><Relationship Id="rId35" Type="http://schemas.openxmlformats.org/officeDocument/2006/relationships/image" Target="media/image15.wmf"/><Relationship Id="rId56" Type="http://schemas.openxmlformats.org/officeDocument/2006/relationships/image" Target="media/image28.wmf"/><Relationship Id="rId77" Type="http://schemas.openxmlformats.org/officeDocument/2006/relationships/image" Target="media/image39.wmf"/><Relationship Id="rId100" Type="http://schemas.openxmlformats.org/officeDocument/2006/relationships/image" Target="media/image51.wmf"/><Relationship Id="rId105" Type="http://schemas.openxmlformats.org/officeDocument/2006/relationships/oleObject" Target="embeddings/oleObject43.bin"/><Relationship Id="rId126" Type="http://schemas.openxmlformats.org/officeDocument/2006/relationships/oleObject" Target="embeddings/oleObject52.bin"/><Relationship Id="rId147" Type="http://schemas.openxmlformats.org/officeDocument/2006/relationships/image" Target="media/image78.wmf"/><Relationship Id="rId8" Type="http://schemas.openxmlformats.org/officeDocument/2006/relationships/image" Target="media/image2.wmf"/><Relationship Id="rId51" Type="http://schemas.openxmlformats.org/officeDocument/2006/relationships/image" Target="media/image25.wmf"/><Relationship Id="rId72" Type="http://schemas.openxmlformats.org/officeDocument/2006/relationships/oleObject" Target="embeddings/oleObject27.bin"/><Relationship Id="rId93" Type="http://schemas.openxmlformats.org/officeDocument/2006/relationships/oleObject" Target="embeddings/oleObject37.bin"/><Relationship Id="rId98" Type="http://schemas.openxmlformats.org/officeDocument/2006/relationships/image" Target="media/image50.wmf"/><Relationship Id="rId121" Type="http://schemas.openxmlformats.org/officeDocument/2006/relationships/image" Target="media/image63.wmf"/><Relationship Id="rId142" Type="http://schemas.openxmlformats.org/officeDocument/2006/relationships/image" Target="media/image75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1389</TotalTime>
  <Pages>72</Pages>
  <Words>13209</Words>
  <Characters>75293</Characters>
  <Application>Microsoft Office Word</Application>
  <DocSecurity>0</DocSecurity>
  <Lines>627</Lines>
  <Paragraphs>176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498</cp:revision>
  <dcterms:created xsi:type="dcterms:W3CDTF">2026-03-08T09:35:00Z</dcterms:created>
  <dcterms:modified xsi:type="dcterms:W3CDTF">2026-05-31T07:37:00Z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