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D617" w14:textId="56B51788" w:rsidR="004B0885" w:rsidRPr="00A735FA" w:rsidRDefault="00B023A1" w:rsidP="004B08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="004B0885" w:rsidRPr="00A735F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949D93C" w14:textId="25CE0AE3" w:rsidR="00A735FA" w:rsidRPr="00A735FA" w:rsidRDefault="00A735FA" w:rsidP="00A735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5FA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 комплексного импеданса тяговой аккумуляторной батареи</w:t>
      </w:r>
    </w:p>
    <w:p w14:paraId="261DA72D" w14:textId="77777777" w:rsidR="00A735FA" w:rsidRPr="007B0D79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8F3959" w14:textId="40DBEB52" w:rsidR="00A735FA" w:rsidRPr="00A735FA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5FA">
        <w:rPr>
          <w:rFonts w:ascii="Times New Roman" w:hAnsi="Times New Roman" w:cs="Times New Roman"/>
          <w:b/>
          <w:bCs/>
          <w:sz w:val="28"/>
          <w:szCs w:val="28"/>
        </w:rPr>
        <w:t>2.1 Физико-математические основы моделирования импеданса аккумуляторных систем</w:t>
      </w:r>
    </w:p>
    <w:p w14:paraId="723A066C" w14:textId="77777777" w:rsidR="00A735FA" w:rsidRPr="00A735FA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21767" w14:textId="397382F4" w:rsidR="00A735FA" w:rsidRPr="00E74340" w:rsidRDefault="00E7434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340">
        <w:rPr>
          <w:rFonts w:ascii="Times New Roman" w:hAnsi="Times New Roman" w:cs="Times New Roman"/>
          <w:sz w:val="28"/>
          <w:szCs w:val="28"/>
        </w:rPr>
        <w:t xml:space="preserve">Математическое моделирование импеданса тяговой аккумуляторной батареи должно опираться на совокупность фундаментальных уравнений, описывающих перенос заряда, перенос вещества, электрохимическую кинетику и тепловое состояние электрохимической системы. В отличие от эмпирических схем, где спектр рассматривается лишь как аппроксимируемая кривая, в настоящей работе импеданс интерпретируется как функциональное проявление внутренних состояний батареи. Поэтому исходной задачей главы 2 является формирование физически обоснованной модели, позволяющей связать спектральные параметры с наблюдаемыми </w:t>
      </w:r>
      <w:proofErr w:type="spellStart"/>
      <w:r w:rsidRPr="00E74340">
        <w:rPr>
          <w:rFonts w:ascii="Times New Roman" w:hAnsi="Times New Roman" w:cs="Times New Roman"/>
          <w:sz w:val="28"/>
          <w:szCs w:val="28"/>
        </w:rPr>
        <w:t>деградационными</w:t>
      </w:r>
      <w:proofErr w:type="spellEnd"/>
      <w:r w:rsidRPr="00E74340">
        <w:rPr>
          <w:rFonts w:ascii="Times New Roman" w:hAnsi="Times New Roman" w:cs="Times New Roman"/>
          <w:sz w:val="28"/>
          <w:szCs w:val="28"/>
        </w:rPr>
        <w:t xml:space="preserve"> эффектами и подготовить основу для последующей идентификации </w:t>
      </w:r>
      <w:r w:rsidRPr="00E74340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E743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74340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E74340">
        <w:rPr>
          <w:rFonts w:ascii="Times New Roman" w:hAnsi="Times New Roman" w:cs="Times New Roman"/>
          <w:sz w:val="28"/>
          <w:szCs w:val="28"/>
        </w:rPr>
        <w:t>.</w:t>
      </w:r>
    </w:p>
    <w:p w14:paraId="5C1C32F6" w14:textId="77777777" w:rsidR="00A735FA" w:rsidRPr="00A735FA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418AB" w14:textId="311FA585" w:rsidR="004B0885" w:rsidRPr="00C9579D" w:rsidRDefault="00C9579D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79D">
        <w:rPr>
          <w:rFonts w:ascii="Times New Roman" w:hAnsi="Times New Roman" w:cs="Times New Roman"/>
          <w:b/>
          <w:bCs/>
          <w:sz w:val="28"/>
          <w:szCs w:val="28"/>
        </w:rPr>
        <w:t>2.2 Эквивалентные схемы замещения и аналитическое представление импеданса</w:t>
      </w:r>
    </w:p>
    <w:p w14:paraId="6C545F11" w14:textId="77777777" w:rsidR="004B0885" w:rsidRPr="00A735FA" w:rsidRDefault="004B0885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E734AA" w14:textId="5E0CB32D" w:rsidR="00C9579D" w:rsidRPr="00A735FA" w:rsidRDefault="00A27A0F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7A0F">
        <w:rPr>
          <w:rFonts w:ascii="Times New Roman" w:hAnsi="Times New Roman" w:cs="Times New Roman"/>
          <w:sz w:val="28"/>
          <w:szCs w:val="28"/>
        </w:rPr>
        <w:t xml:space="preserve">Переход от распределённой физико-математической модели аккумуляторной системы к компактному аналитическому описанию импеданса необходим по двум причинам. Во-первых, полная пористо-электродная модель типа </w:t>
      </w:r>
      <w:proofErr w:type="spellStart"/>
      <w:r w:rsidRPr="00A27A0F">
        <w:rPr>
          <w:rFonts w:ascii="Times New Roman" w:hAnsi="Times New Roman" w:cs="Times New Roman"/>
          <w:sz w:val="28"/>
          <w:szCs w:val="28"/>
          <w:highlight w:val="yellow"/>
        </w:rPr>
        <w:t>Doyle</w:t>
      </w:r>
      <w:proofErr w:type="spellEnd"/>
      <w:r w:rsidRPr="00A27A0F">
        <w:rPr>
          <w:rFonts w:ascii="Times New Roman" w:hAnsi="Times New Roman" w:cs="Times New Roman"/>
          <w:sz w:val="28"/>
          <w:szCs w:val="28"/>
          <w:highlight w:val="yellow"/>
        </w:rPr>
        <w:t>–</w:t>
      </w:r>
      <w:proofErr w:type="spellStart"/>
      <w:r w:rsidRPr="00A27A0F">
        <w:rPr>
          <w:rFonts w:ascii="Times New Roman" w:hAnsi="Times New Roman" w:cs="Times New Roman"/>
          <w:sz w:val="28"/>
          <w:szCs w:val="28"/>
          <w:highlight w:val="yellow"/>
        </w:rPr>
        <w:t>Fuller</w:t>
      </w:r>
      <w:proofErr w:type="spellEnd"/>
      <w:r w:rsidRPr="00A27A0F">
        <w:rPr>
          <w:rFonts w:ascii="Times New Roman" w:hAnsi="Times New Roman" w:cs="Times New Roman"/>
          <w:sz w:val="28"/>
          <w:szCs w:val="28"/>
          <w:highlight w:val="yellow"/>
        </w:rPr>
        <w:t>–</w:t>
      </w:r>
      <w:proofErr w:type="spellStart"/>
      <w:r w:rsidRPr="00A27A0F">
        <w:rPr>
          <w:rFonts w:ascii="Times New Roman" w:hAnsi="Times New Roman" w:cs="Times New Roman"/>
          <w:sz w:val="28"/>
          <w:szCs w:val="28"/>
          <w:highlight w:val="yellow"/>
        </w:rPr>
        <w:t>Newman</w:t>
      </w:r>
      <w:proofErr w:type="spellEnd"/>
      <w:r w:rsidRPr="00A27A0F">
        <w:rPr>
          <w:rFonts w:ascii="Times New Roman" w:hAnsi="Times New Roman" w:cs="Times New Roman"/>
          <w:sz w:val="28"/>
          <w:szCs w:val="28"/>
        </w:rPr>
        <w:t xml:space="preserve"> чрезмерно сложна для прямой параметрической идентификации по каждому спектру. Во-вторых, для задач диагностики и прогноза остаточного ресурса требуется форма модели, в которой каждый </w:t>
      </w:r>
      <w:r w:rsidRPr="00A27A0F">
        <w:rPr>
          <w:rFonts w:ascii="Times New Roman" w:hAnsi="Times New Roman" w:cs="Times New Roman"/>
          <w:sz w:val="28"/>
          <w:szCs w:val="28"/>
        </w:rPr>
        <w:lastRenderedPageBreak/>
        <w:t>параметр сохраняет физический смысл, но уже пригоден для вычислительной обработки, сравнения между циклами и последующего включения в алгоритмы BMS. Именно поэтому в электрохимической спектроскопии традиционно используются эквивалентные схемы замещения, связывающие спектральные особенности с омической проводимостью, межфазной кинетикой, ёмкостным откликом интерфейса и диффузионными ограничениями</w:t>
      </w:r>
      <w:r w:rsidR="003E0283">
        <w:rPr>
          <w:rFonts w:ascii="Times New Roman" w:hAnsi="Times New Roman" w:cs="Times New Roman"/>
          <w:sz w:val="28"/>
          <w:szCs w:val="28"/>
        </w:rPr>
        <w:t xml:space="preserve">. </w:t>
      </w:r>
      <w:r w:rsidR="00CA27C9" w:rsidRPr="00CA27C9">
        <w:rPr>
          <w:rFonts w:ascii="Times New Roman" w:hAnsi="Times New Roman" w:cs="Times New Roman"/>
          <w:sz w:val="28"/>
          <w:szCs w:val="28"/>
          <w:highlight w:val="yellow"/>
        </w:rPr>
        <w:t>((</w:t>
      </w:r>
      <w:proofErr w:type="gramStart"/>
      <w:r w:rsidR="00CA27C9" w:rsidRPr="00CA27C9">
        <w:rPr>
          <w:rFonts w:ascii="Times New Roman" w:hAnsi="Times New Roman" w:cs="Times New Roman"/>
          <w:sz w:val="28"/>
          <w:szCs w:val="28"/>
          <w:highlight w:val="yellow"/>
        </w:rPr>
        <w:t>https://doi.org/10.1039/DF9470100011),(https://doi.org/10.1021/acsmeasuresciau.2c00070 )</w:t>
      </w:r>
      <w:proofErr w:type="gramEnd"/>
      <w:r w:rsidR="00CA27C9" w:rsidRPr="00CA27C9">
        <w:rPr>
          <w:rFonts w:ascii="Times New Roman" w:hAnsi="Times New Roman" w:cs="Times New Roman"/>
          <w:sz w:val="28"/>
          <w:szCs w:val="28"/>
          <w:highlight w:val="yellow"/>
        </w:rPr>
        <w:t>).</w:t>
      </w:r>
    </w:p>
    <w:p w14:paraId="3CC28504" w14:textId="3712D8A0" w:rsidR="00CA27C9" w:rsidRDefault="003E0283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283">
        <w:rPr>
          <w:rFonts w:ascii="Times New Roman" w:hAnsi="Times New Roman" w:cs="Times New Roman"/>
          <w:sz w:val="28"/>
          <w:szCs w:val="28"/>
        </w:rPr>
        <w:t xml:space="preserve">Сама идея эквивалентной схемы состоит в том, что реальная электрохимическая система заменяется </w:t>
      </w:r>
      <w:r w:rsidRPr="003E0283">
        <w:rPr>
          <w:rFonts w:ascii="Times New Roman" w:hAnsi="Times New Roman" w:cs="Times New Roman"/>
          <w:sz w:val="28"/>
          <w:szCs w:val="28"/>
          <w:highlight w:val="yellow"/>
        </w:rPr>
        <w:t>электрической сетью</w:t>
      </w:r>
      <w:r w:rsidRPr="003E0283">
        <w:rPr>
          <w:rFonts w:ascii="Times New Roman" w:hAnsi="Times New Roman" w:cs="Times New Roman"/>
          <w:sz w:val="28"/>
          <w:szCs w:val="28"/>
        </w:rPr>
        <w:t xml:space="preserve"> из сосредоточенных элементов, дающей тот же комплексный отклик в исследуемом частотном диапазоне. Такой подход допустим не как произвольная подгонка, а как редукция исходной непрерывной модели при условии, что каждый элемент схемы соответствует доминирующему физическому механизму. Для аккумуляторных батарей базовой исходной схемой остаётся схема </w:t>
      </w:r>
      <w:proofErr w:type="spellStart"/>
      <w:r w:rsidRPr="003E0283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3E0283">
        <w:rPr>
          <w:rFonts w:ascii="Times New Roman" w:hAnsi="Times New Roman" w:cs="Times New Roman"/>
          <w:sz w:val="28"/>
          <w:szCs w:val="28"/>
        </w:rPr>
        <w:t xml:space="preserve">, впервые предложенная для интерпретации </w:t>
      </w:r>
      <w:proofErr w:type="spellStart"/>
      <w:r w:rsidRPr="003E0283">
        <w:rPr>
          <w:rFonts w:ascii="Times New Roman" w:hAnsi="Times New Roman" w:cs="Times New Roman"/>
          <w:sz w:val="28"/>
          <w:szCs w:val="28"/>
        </w:rPr>
        <w:t>фарадеевской</w:t>
      </w:r>
      <w:proofErr w:type="spellEnd"/>
      <w:r w:rsidRPr="003E0283">
        <w:rPr>
          <w:rFonts w:ascii="Times New Roman" w:hAnsi="Times New Roman" w:cs="Times New Roman"/>
          <w:sz w:val="28"/>
          <w:szCs w:val="28"/>
        </w:rPr>
        <w:t xml:space="preserve"> импедансной поляризации, а современные </w:t>
      </w:r>
      <w:proofErr w:type="spellStart"/>
      <w:r w:rsidRPr="003E0283">
        <w:rPr>
          <w:rFonts w:ascii="Times New Roman" w:hAnsi="Times New Roman" w:cs="Times New Roman"/>
          <w:sz w:val="28"/>
          <w:szCs w:val="28"/>
          <w:highlight w:val="yellow"/>
        </w:rPr>
        <w:t>battery</w:t>
      </w:r>
      <w:proofErr w:type="spellEnd"/>
      <w:r w:rsidRPr="003E0283">
        <w:rPr>
          <w:rFonts w:ascii="Times New Roman" w:hAnsi="Times New Roman" w:cs="Times New Roman"/>
          <w:sz w:val="28"/>
          <w:szCs w:val="28"/>
          <w:highlight w:val="yellow"/>
        </w:rPr>
        <w:t>-EIS</w:t>
      </w:r>
      <w:r w:rsidRPr="003E0283">
        <w:rPr>
          <w:rFonts w:ascii="Times New Roman" w:hAnsi="Times New Roman" w:cs="Times New Roman"/>
          <w:sz w:val="28"/>
          <w:szCs w:val="28"/>
        </w:rPr>
        <w:t xml:space="preserve"> исследования используют либо её прямую форму, либо модифицированные варианты с дополнительными RC-ветвями, CPE-элементами и </w:t>
      </w:r>
      <w:proofErr w:type="spellStart"/>
      <w:r w:rsidRPr="003E0283">
        <w:rPr>
          <w:rFonts w:ascii="Times New Roman" w:hAnsi="Times New Roman" w:cs="Times New Roman"/>
          <w:sz w:val="28"/>
          <w:szCs w:val="28"/>
        </w:rPr>
        <w:t>конечнодиффузионными</w:t>
      </w:r>
      <w:proofErr w:type="spellEnd"/>
      <w:r w:rsidRPr="003E0283">
        <w:rPr>
          <w:rFonts w:ascii="Times New Roman" w:hAnsi="Times New Roman" w:cs="Times New Roman"/>
          <w:sz w:val="28"/>
          <w:szCs w:val="28"/>
        </w:rPr>
        <w:t xml:space="preserve"> блоками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D403F" w:rsidRPr="001D403F">
        <w:rPr>
          <w:rFonts w:ascii="Times New Roman" w:hAnsi="Times New Roman" w:cs="Times New Roman"/>
          <w:sz w:val="28"/>
          <w:szCs w:val="28"/>
          <w:highlight w:val="yellow"/>
        </w:rPr>
        <w:t>((https://doi.org/10.1039/DF9470100011),(https://doi.org/10.1021/acsmeasuresciau.2c00070)).</w:t>
      </w:r>
    </w:p>
    <w:p w14:paraId="6EC658F3" w14:textId="518D957A" w:rsidR="001D403F" w:rsidRDefault="006707D7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7D7">
        <w:rPr>
          <w:rFonts w:ascii="Times New Roman" w:hAnsi="Times New Roman" w:cs="Times New Roman"/>
          <w:sz w:val="28"/>
          <w:szCs w:val="28"/>
        </w:rPr>
        <w:t xml:space="preserve">Для дальнейшего математического вывода необходимо зафиксировать, какие именно схемы замещения принимаются в работе как базовые: минимальная схема </w:t>
      </w:r>
      <w:proofErr w:type="spellStart"/>
      <w:r w:rsidRPr="006707D7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6707D7">
        <w:rPr>
          <w:rFonts w:ascii="Times New Roman" w:hAnsi="Times New Roman" w:cs="Times New Roman"/>
          <w:sz w:val="28"/>
          <w:szCs w:val="28"/>
        </w:rPr>
        <w:t xml:space="preserve"> и её модифицированный вариант, более близкий к поведению тяговой аккумуляторной батареи.</w:t>
      </w:r>
    </w:p>
    <w:p w14:paraId="3C8FE6C4" w14:textId="77777777" w:rsidR="006707D7" w:rsidRDefault="006707D7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932A2" w14:textId="73D5F2A0" w:rsidR="006707D7" w:rsidRDefault="00422DB9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1D969B" wp14:editId="2912E267">
            <wp:extent cx="6119495" cy="2518410"/>
            <wp:effectExtent l="0" t="0" r="0" b="0"/>
            <wp:docPr id="161503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268D" w14:textId="2EBC9556" w:rsidR="00422DB9" w:rsidRDefault="00FB7D2A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D2A">
        <w:rPr>
          <w:rFonts w:ascii="Times New Roman" w:hAnsi="Times New Roman" w:cs="Times New Roman"/>
          <w:sz w:val="28"/>
          <w:szCs w:val="28"/>
        </w:rPr>
        <w:t>Рисунок 2.3 — Эквивалентные схемы замещения тяговой аккумуляторной батареи</w:t>
      </w:r>
    </w:p>
    <w:p w14:paraId="3E6AFA58" w14:textId="77777777" w:rsidR="00422DB9" w:rsidRDefault="00422DB9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F7E9A" w14:textId="27950C05" w:rsidR="00FB7D2A" w:rsidRPr="00A735FA" w:rsidRDefault="00EB2EF3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EF3">
        <w:rPr>
          <w:rFonts w:ascii="Times New Roman" w:hAnsi="Times New Roman" w:cs="Times New Roman"/>
          <w:sz w:val="28"/>
          <w:szCs w:val="28"/>
        </w:rPr>
        <w:t xml:space="preserve">На рисунке приведены две схемы. Слева показана базовая схема </w:t>
      </w:r>
      <w:proofErr w:type="spellStart"/>
      <w:r w:rsidRPr="00EB2EF3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EB2EF3">
        <w:rPr>
          <w:rFonts w:ascii="Times New Roman" w:hAnsi="Times New Roman" w:cs="Times New Roman"/>
          <w:sz w:val="28"/>
          <w:szCs w:val="28"/>
        </w:rPr>
        <w:t>, включающая последовательное омическое сопротивление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2EF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B2E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B2EF3">
        <w:rPr>
          <w:rFonts w:ascii="Times New Roman" w:hAnsi="Times New Roman" w:cs="Times New Roman"/>
          <w:sz w:val="28"/>
          <w:szCs w:val="28"/>
        </w:rPr>
        <w:t xml:space="preserve">, параллельную ветвь сопротивления переноса заряда </w:t>
      </w:r>
      <w:proofErr w:type="spellStart"/>
      <w:r w:rsidRPr="00EB2EF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B2E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B2EF3">
        <w:rPr>
          <w:rFonts w:ascii="Times New Roman" w:hAnsi="Times New Roman" w:cs="Times New Roman"/>
          <w:sz w:val="28"/>
          <w:szCs w:val="28"/>
        </w:rPr>
        <w:t xml:space="preserve"> и ёмкости двойного электрического слоя </w:t>
      </w:r>
      <w:proofErr w:type="spellStart"/>
      <w:r w:rsidRPr="00EB2EF3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B2E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EB2EF3">
        <w:rPr>
          <w:rFonts w:ascii="Times New Roman" w:hAnsi="Times New Roman" w:cs="Times New Roman"/>
          <w:sz w:val="28"/>
          <w:szCs w:val="28"/>
        </w:rPr>
        <w:t xml:space="preserve">, а также диффузионный элемент </w:t>
      </w:r>
      <w:r>
        <w:rPr>
          <w:rFonts w:ascii="Times New Roman" w:hAnsi="Times New Roman" w:cs="Times New Roman"/>
          <w:sz w:val="28"/>
          <w:szCs w:val="28"/>
        </w:rPr>
        <w:t xml:space="preserve">Варбурга </w:t>
      </w:r>
      <w:proofErr w:type="spellStart"/>
      <w:r w:rsidRPr="00EB2EF3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B2E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w</w:t>
      </w:r>
      <w:proofErr w:type="spellEnd"/>
      <w:r w:rsidRPr="00EB2EF3">
        <w:rPr>
          <w:rFonts w:ascii="Times New Roman" w:hAnsi="Times New Roman" w:cs="Times New Roman"/>
          <w:sz w:val="28"/>
          <w:szCs w:val="28"/>
        </w:rPr>
        <w:t xml:space="preserve">. </w:t>
      </w:r>
      <w:r w:rsidR="000E7050" w:rsidRPr="000E7050">
        <w:rPr>
          <w:rFonts w:ascii="Times New Roman" w:hAnsi="Times New Roman" w:cs="Times New Roman"/>
          <w:sz w:val="28"/>
          <w:szCs w:val="28"/>
        </w:rPr>
        <w:t xml:space="preserve">Справа показан модифицированный вариант для тяговой батареи, в котором идеальная ёмкость заменена элементом </w:t>
      </w:r>
      <w:r w:rsidR="000E7050" w:rsidRPr="002446A7">
        <w:rPr>
          <w:rFonts w:ascii="Times New Roman" w:hAnsi="Times New Roman" w:cs="Times New Roman"/>
          <w:i/>
          <w:iCs/>
          <w:sz w:val="28"/>
          <w:szCs w:val="28"/>
        </w:rPr>
        <w:t>CPE</w:t>
      </w:r>
      <w:r w:rsidR="000E7050" w:rsidRPr="000E7050">
        <w:rPr>
          <w:rFonts w:ascii="Times New Roman" w:hAnsi="Times New Roman" w:cs="Times New Roman"/>
          <w:sz w:val="28"/>
          <w:szCs w:val="28"/>
        </w:rPr>
        <w:t xml:space="preserve">, а диффузионная составляющая выделена в отдельный блок </w:t>
      </w:r>
      <w:proofErr w:type="spellStart"/>
      <w:r w:rsidR="000E7050" w:rsidRPr="002446A7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="000E7050" w:rsidRPr="002446A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proofErr w:type="spellEnd"/>
      <w:r w:rsidR="000E7050" w:rsidRPr="000E7050">
        <w:rPr>
          <w:rFonts w:ascii="Times New Roman" w:hAnsi="Times New Roman" w:cs="Times New Roman"/>
          <w:sz w:val="28"/>
          <w:szCs w:val="28"/>
        </w:rPr>
        <w:t xml:space="preserve">, что позволяет учитывать </w:t>
      </w:r>
      <w:proofErr w:type="spellStart"/>
      <w:r w:rsidR="000E7050" w:rsidRPr="000E7050">
        <w:rPr>
          <w:rFonts w:ascii="Times New Roman" w:hAnsi="Times New Roman" w:cs="Times New Roman"/>
          <w:sz w:val="28"/>
          <w:szCs w:val="28"/>
        </w:rPr>
        <w:t>неидеальность</w:t>
      </w:r>
      <w:proofErr w:type="spellEnd"/>
      <w:r w:rsidR="000E7050" w:rsidRPr="000E7050">
        <w:rPr>
          <w:rFonts w:ascii="Times New Roman" w:hAnsi="Times New Roman" w:cs="Times New Roman"/>
          <w:sz w:val="28"/>
          <w:szCs w:val="28"/>
        </w:rPr>
        <w:t xml:space="preserve"> интерфейса и </w:t>
      </w:r>
      <w:proofErr w:type="spellStart"/>
      <w:r w:rsidR="000E7050" w:rsidRPr="000E7050">
        <w:rPr>
          <w:rFonts w:ascii="Times New Roman" w:hAnsi="Times New Roman" w:cs="Times New Roman"/>
          <w:sz w:val="28"/>
          <w:szCs w:val="28"/>
        </w:rPr>
        <w:t>распределённость</w:t>
      </w:r>
      <w:proofErr w:type="spellEnd"/>
      <w:r w:rsidR="000E7050" w:rsidRPr="000E7050">
        <w:rPr>
          <w:rFonts w:ascii="Times New Roman" w:hAnsi="Times New Roman" w:cs="Times New Roman"/>
          <w:sz w:val="28"/>
          <w:szCs w:val="28"/>
        </w:rPr>
        <w:t xml:space="preserve"> времён релаксации.</w:t>
      </w:r>
    </w:p>
    <w:p w14:paraId="5F6BD92E" w14:textId="4551CC72" w:rsidR="000E7050" w:rsidRPr="00A735FA" w:rsidRDefault="002446A7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A7">
        <w:rPr>
          <w:rFonts w:ascii="Times New Roman" w:hAnsi="Times New Roman" w:cs="Times New Roman"/>
          <w:sz w:val="28"/>
          <w:szCs w:val="28"/>
        </w:rPr>
        <w:t xml:space="preserve">Рисунок фиксирует две ключевые идеи главы 2. Во-первых, минимальная аналитическая модель должна опираться на базовую схему </w:t>
      </w:r>
      <w:proofErr w:type="spellStart"/>
      <w:r w:rsidRPr="002446A7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2446A7">
        <w:rPr>
          <w:rFonts w:ascii="Times New Roman" w:hAnsi="Times New Roman" w:cs="Times New Roman"/>
          <w:sz w:val="28"/>
          <w:szCs w:val="28"/>
        </w:rPr>
        <w:t xml:space="preserve">, поскольку именно она имеет наиболее прозрачную физическую интерпретацию. Во-вторых, для реальных тяговых батарей базовая схема рассматривается как предельное ядро, допускающее дальнейшее расширение. Научная ценность рисунка заключается в структурном разделении «базовой аналитической модели» и «расширенной инженерной модели». Практическая ценность состоит в том, что такая двухуровневая схема позволяет использовать в диагностике как простую </w:t>
      </w:r>
      <w:r w:rsidRPr="002446A7">
        <w:rPr>
          <w:rFonts w:ascii="Times New Roman" w:hAnsi="Times New Roman" w:cs="Times New Roman"/>
          <w:sz w:val="28"/>
          <w:szCs w:val="28"/>
        </w:rPr>
        <w:lastRenderedPageBreak/>
        <w:t>идентифицируемую модель, так и более точную модифицированную структуру для последующего внедрения.</w:t>
      </w:r>
    </w:p>
    <w:p w14:paraId="0D767CE9" w14:textId="77777777" w:rsidR="002446A7" w:rsidRPr="00A735FA" w:rsidRDefault="002446A7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345B22" w14:textId="7A43B0FD" w:rsidR="002446A7" w:rsidRPr="00EA4FE0" w:rsidRDefault="00EA4FE0" w:rsidP="004B08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4FE0">
        <w:rPr>
          <w:rFonts w:ascii="Times New Roman" w:hAnsi="Times New Roman" w:cs="Times New Roman"/>
          <w:b/>
          <w:bCs/>
          <w:sz w:val="28"/>
          <w:szCs w:val="28"/>
        </w:rPr>
        <w:t xml:space="preserve">2.2.1 Базовая схема </w:t>
      </w:r>
      <w:proofErr w:type="spellStart"/>
      <w:r w:rsidRPr="00EA4FE0">
        <w:rPr>
          <w:rFonts w:ascii="Times New Roman" w:hAnsi="Times New Roman" w:cs="Times New Roman"/>
          <w:b/>
          <w:bCs/>
          <w:sz w:val="28"/>
          <w:szCs w:val="28"/>
        </w:rPr>
        <w:t>Рэндлса</w:t>
      </w:r>
      <w:proofErr w:type="spellEnd"/>
      <w:r w:rsidRPr="00EA4FE0">
        <w:rPr>
          <w:rFonts w:ascii="Times New Roman" w:hAnsi="Times New Roman" w:cs="Times New Roman"/>
          <w:b/>
          <w:bCs/>
          <w:sz w:val="28"/>
          <w:szCs w:val="28"/>
        </w:rPr>
        <w:t xml:space="preserve"> и её физический смысл</w:t>
      </w:r>
    </w:p>
    <w:p w14:paraId="4ABE72C2" w14:textId="77777777" w:rsidR="002446A7" w:rsidRPr="00A735FA" w:rsidRDefault="002446A7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394987" w14:textId="1086AF6A" w:rsidR="00EA4FE0" w:rsidRPr="00DE3546" w:rsidRDefault="007C6A0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A04">
        <w:rPr>
          <w:rFonts w:ascii="Times New Roman" w:hAnsi="Times New Roman" w:cs="Times New Roman"/>
          <w:sz w:val="28"/>
          <w:szCs w:val="28"/>
        </w:rPr>
        <w:t xml:space="preserve">В базовой схеме </w:t>
      </w:r>
      <w:proofErr w:type="spellStart"/>
      <w:r w:rsidRPr="007C6A04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7C6A04">
        <w:rPr>
          <w:rFonts w:ascii="Times New Roman" w:hAnsi="Times New Roman" w:cs="Times New Roman"/>
          <w:sz w:val="28"/>
          <w:szCs w:val="28"/>
        </w:rPr>
        <w:t xml:space="preserve"> последовательное сопротивление </w:t>
      </w:r>
      <w:r w:rsidRPr="00DE3546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E354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7C6A04">
        <w:rPr>
          <w:rFonts w:ascii="Times New Roman" w:hAnsi="Times New Roman" w:cs="Times New Roman"/>
          <w:sz w:val="28"/>
          <w:szCs w:val="28"/>
        </w:rPr>
        <w:t xml:space="preserve"> описывает мгновенные активные потери в токосъёмниках, контактах, электролите и проводящей матрице электрода. Параллельная ветвь </w:t>
      </w:r>
      <w:proofErr w:type="spellStart"/>
      <w:r w:rsidRPr="007C6A0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C6A0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DE3546" w:rsidRPr="00DE3546">
        <w:rPr>
          <w:rFonts w:ascii="Times New Roman" w:hAnsi="Times New Roman" w:cs="Times New Roman"/>
          <w:sz w:val="28"/>
          <w:szCs w:val="28"/>
        </w:rPr>
        <w:t>—</w:t>
      </w:r>
      <w:proofErr w:type="spellStart"/>
      <w:r w:rsidRPr="007C6A04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7C6A0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7C6A04">
        <w:rPr>
          <w:rFonts w:ascii="Times New Roman" w:hAnsi="Times New Roman" w:cs="Times New Roman"/>
          <w:sz w:val="28"/>
          <w:szCs w:val="28"/>
        </w:rPr>
        <w:t xml:space="preserve"> описывает интерфейс электрод–электролит: сопротивление </w:t>
      </w:r>
      <w:proofErr w:type="spellStart"/>
      <w:r w:rsidRPr="00DE3546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E354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7C6A04">
        <w:rPr>
          <w:rFonts w:ascii="Times New Roman" w:hAnsi="Times New Roman" w:cs="Times New Roman"/>
          <w:sz w:val="28"/>
          <w:szCs w:val="28"/>
        </w:rPr>
        <w:t xml:space="preserve"> связано с межфазной кинетикой, а ёмкость </w:t>
      </w:r>
      <w:proofErr w:type="spellStart"/>
      <w:r w:rsidRPr="00DE3546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DE354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7C6A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C6A04">
        <w:rPr>
          <w:rFonts w:ascii="Times New Roman" w:hAnsi="Times New Roman" w:cs="Times New Roman"/>
          <w:sz w:val="28"/>
          <w:szCs w:val="28"/>
        </w:rPr>
        <w:t xml:space="preserve"> с зарядкой двойного электрического слоя. Наконец, диффузионный элемент </w:t>
      </w:r>
      <w:proofErr w:type="spellStart"/>
      <w:r w:rsidRPr="00DE3546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DE354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w</w:t>
      </w:r>
      <w:proofErr w:type="spellEnd"/>
      <w:r w:rsidRPr="007C6A04">
        <w:rPr>
          <w:rFonts w:ascii="Times New Roman" w:hAnsi="Times New Roman" w:cs="Times New Roman"/>
          <w:sz w:val="28"/>
          <w:szCs w:val="28"/>
        </w:rPr>
        <w:t xml:space="preserve"> отвечает за ограничения переноса вещества на низких частотах. Такая декомпозиция соответствует классической физической интерпретации EIS-спектра: высокочастотная область — омическая, среднечастотная — </w:t>
      </w:r>
      <w:proofErr w:type="spellStart"/>
      <w:r w:rsidRPr="007C6A04">
        <w:rPr>
          <w:rFonts w:ascii="Times New Roman" w:hAnsi="Times New Roman" w:cs="Times New Roman"/>
          <w:sz w:val="28"/>
          <w:szCs w:val="28"/>
        </w:rPr>
        <w:t>зарядопереносная</w:t>
      </w:r>
      <w:proofErr w:type="spellEnd"/>
      <w:r w:rsidRPr="007C6A04">
        <w:rPr>
          <w:rFonts w:ascii="Times New Roman" w:hAnsi="Times New Roman" w:cs="Times New Roman"/>
          <w:sz w:val="28"/>
          <w:szCs w:val="28"/>
        </w:rPr>
        <w:t xml:space="preserve">, низкочастотная — диффузионная. </w:t>
      </w:r>
      <w:r w:rsidRPr="007C6A04">
        <w:rPr>
          <w:rFonts w:ascii="Times New Roman" w:hAnsi="Times New Roman" w:cs="Times New Roman"/>
          <w:sz w:val="28"/>
          <w:szCs w:val="28"/>
          <w:highlight w:val="yellow"/>
        </w:rPr>
        <w:t>((</w:t>
      </w:r>
      <w:hyperlink r:id="rId7" w:history="1">
        <w:r w:rsidRPr="004B0B91">
          <w:rPr>
            <w:rStyle w:val="ad"/>
            <w:rFonts w:ascii="Times New Roman" w:hAnsi="Times New Roman" w:cs="Times New Roman"/>
            <w:sz w:val="28"/>
            <w:szCs w:val="28"/>
            <w:highlight w:val="yellow"/>
          </w:rPr>
          <w:t>https://doi.org/10.1021/acsmeasuresciau.2c00070)</w:t>
        </w:r>
      </w:hyperlink>
      <w:r w:rsidRPr="007C6A04">
        <w:rPr>
          <w:rFonts w:ascii="Times New Roman" w:hAnsi="Times New Roman" w:cs="Times New Roman"/>
          <w:sz w:val="28"/>
          <w:szCs w:val="28"/>
          <w:highlight w:val="yellow"/>
        </w:rPr>
        <w:t>).</w:t>
      </w:r>
    </w:p>
    <w:p w14:paraId="595AA310" w14:textId="7DF2B1BC" w:rsidR="007C6A04" w:rsidRPr="00E343F4" w:rsidRDefault="00DE3546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3546">
        <w:rPr>
          <w:rFonts w:ascii="Times New Roman" w:hAnsi="Times New Roman" w:cs="Times New Roman"/>
          <w:sz w:val="28"/>
          <w:szCs w:val="28"/>
        </w:rPr>
        <w:t xml:space="preserve">Принципиально важно, что эта схема не выводится чисто эвристически. Элемент </w:t>
      </w:r>
      <w:r w:rsidRPr="00EB2EF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B2E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DE3546">
        <w:rPr>
          <w:rFonts w:ascii="Times New Roman" w:hAnsi="Times New Roman" w:cs="Times New Roman"/>
          <w:sz w:val="28"/>
          <w:szCs w:val="28"/>
        </w:rPr>
        <w:t xml:space="preserve"> возникает из балансов заряда и закона Ома в твёрдой и жидкой фазах. Элемент </w:t>
      </w:r>
      <w:proofErr w:type="spellStart"/>
      <w:r w:rsidRPr="00DE3546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E354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DE3546">
        <w:rPr>
          <w:rFonts w:ascii="Times New Roman" w:hAnsi="Times New Roman" w:cs="Times New Roman"/>
          <w:sz w:val="28"/>
          <w:szCs w:val="28"/>
        </w:rPr>
        <w:t xml:space="preserve"> появляется при линеаризации уравнения Батлера–</w:t>
      </w:r>
      <w:proofErr w:type="spellStart"/>
      <w:r w:rsidRPr="00DE3546">
        <w:rPr>
          <w:rFonts w:ascii="Times New Roman" w:hAnsi="Times New Roman" w:cs="Times New Roman"/>
          <w:sz w:val="28"/>
          <w:szCs w:val="28"/>
        </w:rPr>
        <w:t>Фольмера</w:t>
      </w:r>
      <w:proofErr w:type="spellEnd"/>
      <w:r w:rsidRPr="00DE3546">
        <w:rPr>
          <w:rFonts w:ascii="Times New Roman" w:hAnsi="Times New Roman" w:cs="Times New Roman"/>
          <w:sz w:val="28"/>
          <w:szCs w:val="28"/>
        </w:rPr>
        <w:t xml:space="preserve"> около рабочей точки. Элемент </w:t>
      </w:r>
      <w:proofErr w:type="spellStart"/>
      <w:r w:rsidRPr="00DE3546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DE354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DE3546">
        <w:rPr>
          <w:rFonts w:ascii="Times New Roman" w:hAnsi="Times New Roman" w:cs="Times New Roman"/>
          <w:sz w:val="28"/>
          <w:szCs w:val="28"/>
        </w:rPr>
        <w:t xml:space="preserve"> следует из способности интерфейса накапливать заряд. Элемент Варбурга возникает при решении уравнения </w:t>
      </w:r>
      <w:proofErr w:type="spellStart"/>
      <w:r w:rsidRPr="00DE3546">
        <w:rPr>
          <w:rFonts w:ascii="Times New Roman" w:hAnsi="Times New Roman" w:cs="Times New Roman"/>
          <w:sz w:val="28"/>
          <w:szCs w:val="28"/>
        </w:rPr>
        <w:t>Фика</w:t>
      </w:r>
      <w:proofErr w:type="spellEnd"/>
      <w:r w:rsidRPr="00DE3546">
        <w:rPr>
          <w:rFonts w:ascii="Times New Roman" w:hAnsi="Times New Roman" w:cs="Times New Roman"/>
          <w:sz w:val="28"/>
          <w:szCs w:val="28"/>
        </w:rPr>
        <w:t xml:space="preserve"> для гармонического возмущения концентрации. Поэтому даже упрощённая схема остаётся связанной с фундаментальной физикой аккумуляторной системы. ((</w:t>
      </w:r>
      <w:hyperlink r:id="rId8" w:history="1">
        <w:r w:rsidRPr="004B0B91">
          <w:rPr>
            <w:rStyle w:val="ad"/>
            <w:rFonts w:ascii="Times New Roman" w:hAnsi="Times New Roman" w:cs="Times New Roman"/>
            <w:sz w:val="28"/>
            <w:szCs w:val="28"/>
          </w:rPr>
          <w:t>https://doi.org/10.1016/j.jelechem.2020.114145),(https://doi.org/10.1039/C6CP05049B)</w:t>
        </w:r>
      </w:hyperlink>
      <w:r w:rsidRPr="00DE3546">
        <w:rPr>
          <w:rFonts w:ascii="Times New Roman" w:hAnsi="Times New Roman" w:cs="Times New Roman"/>
          <w:sz w:val="28"/>
          <w:szCs w:val="28"/>
        </w:rPr>
        <w:t>).</w:t>
      </w:r>
    </w:p>
    <w:p w14:paraId="7D43BF9A" w14:textId="77777777" w:rsidR="00DE3546" w:rsidRPr="00E343F4" w:rsidRDefault="00DE3546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54A33" w14:textId="4E41D986" w:rsidR="00DE3546" w:rsidRPr="00E343F4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43F4">
        <w:rPr>
          <w:rFonts w:ascii="Times New Roman" w:hAnsi="Times New Roman" w:cs="Times New Roman"/>
          <w:b/>
          <w:bCs/>
          <w:sz w:val="28"/>
          <w:szCs w:val="28"/>
        </w:rPr>
        <w:t>2.2.2 Аналитическое представление омической составляющей</w:t>
      </w:r>
    </w:p>
    <w:p w14:paraId="19850F11" w14:textId="77777777" w:rsidR="00E343F4" w:rsidRPr="00E343F4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54C6E" w14:textId="37C9A07B" w:rsidR="00E343F4" w:rsidRPr="00A735FA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lastRenderedPageBreak/>
        <w:t>Омическая составляющая импеданса имеет наиболее простую форму:</w:t>
      </w:r>
    </w:p>
    <w:p w14:paraId="1286E5B6" w14:textId="77777777" w:rsidR="00E343F4" w:rsidRPr="00A735FA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CD5B7" w14:textId="2E1124F9" w:rsidR="00E343F4" w:rsidRDefault="00E343F4" w:rsidP="00E343F4">
      <w:pPr>
        <w:pStyle w:val="MTDisplayEquation"/>
      </w:pPr>
      <w:r w:rsidRPr="00E343F4">
        <w:rPr>
          <w:position w:val="-12"/>
        </w:rPr>
        <w:object w:dxaOrig="859" w:dyaOrig="360" w14:anchorId="292597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55pt;height:18.15pt" o:ole="">
            <v:imagedata r:id="rId9" o:title=""/>
          </v:shape>
          <o:OLEObject Type="Embed" ProgID="Equation.DSMT4" ShapeID="_x0000_i1025" DrawAspect="Content" ObjectID="_1835979196" r:id="rId10"/>
        </w:object>
      </w:r>
    </w:p>
    <w:p w14:paraId="7B6C58AD" w14:textId="77777777" w:rsidR="00E343F4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C79916" w14:textId="36DE3457" w:rsidR="00E343F4" w:rsidRPr="00A735FA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 xml:space="preserve">Эта запись означает, что соответствующий вклад не зависит от частоты и характеризует ту часть поляризации, которая реализуется практически мгновенно. Физически это оправдано тем, что электронная и ионная проводимость в первом приближении не имеют заметной инерционности на временных масштабах стандартного EIS-эксперимента. В результате при </w:t>
      </w:r>
      <w:r w:rsidRPr="00E343F4">
        <w:rPr>
          <w:rFonts w:ascii="Times New Roman" w:hAnsi="Times New Roman" w:cs="Times New Roman"/>
          <w:i/>
          <w:iCs/>
          <w:sz w:val="28"/>
          <w:szCs w:val="28"/>
          <w:lang w:val="en-US"/>
        </w:rPr>
        <w:t>ω</w:t>
      </w:r>
      <w:r w:rsidRPr="00E343F4">
        <w:rPr>
          <w:rFonts w:ascii="Times New Roman" w:hAnsi="Times New Roman" w:cs="Times New Roman"/>
          <w:i/>
          <w:iCs/>
          <w:sz w:val="28"/>
          <w:szCs w:val="28"/>
        </w:rPr>
        <w:t>→∞</w:t>
      </w:r>
      <w:r w:rsidRPr="00E343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именно </w:t>
      </w:r>
      <w:r w:rsidRPr="00E343F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343F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343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определяет </w:t>
      </w:r>
      <w:r w:rsidRPr="00E343F4">
        <w:rPr>
          <w:rFonts w:ascii="Times New Roman" w:hAnsi="Times New Roman" w:cs="Times New Roman"/>
          <w:sz w:val="28"/>
          <w:szCs w:val="28"/>
        </w:rPr>
        <w:t>первую точку пересечения спектра с осью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3F4">
        <w:rPr>
          <w:rFonts w:ascii="Times New Roman" w:hAnsi="Times New Roman" w:cs="Times New Roman"/>
          <w:i/>
          <w:iCs/>
          <w:sz w:val="28"/>
          <w:szCs w:val="28"/>
          <w:lang w:val="en-US"/>
        </w:rPr>
        <w:t>Re</w:t>
      </w:r>
      <w:r w:rsidRPr="00E343F4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E343F4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343F4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3F4">
        <w:rPr>
          <w:rFonts w:ascii="Times New Roman" w:hAnsi="Times New Roman" w:cs="Times New Roman"/>
          <w:sz w:val="28"/>
          <w:szCs w:val="28"/>
        </w:rPr>
        <w:t>на диаграмме Найквиста. ((</w:t>
      </w:r>
      <w:hyperlink r:id="rId11" w:history="1">
        <w:r w:rsidRPr="004B0B91">
          <w:rPr>
            <w:rStyle w:val="ad"/>
            <w:rFonts w:ascii="Times New Roman" w:hAnsi="Times New Roman" w:cs="Times New Roman"/>
            <w:sz w:val="28"/>
            <w:szCs w:val="28"/>
          </w:rPr>
          <w:t>https://doi.org/10.1021/acsmeasuresciau.2c00070)</w:t>
        </w:r>
      </w:hyperlink>
      <w:r w:rsidRPr="00E343F4">
        <w:rPr>
          <w:rFonts w:ascii="Times New Roman" w:hAnsi="Times New Roman" w:cs="Times New Roman"/>
          <w:sz w:val="28"/>
          <w:szCs w:val="28"/>
        </w:rPr>
        <w:t>).</w:t>
      </w:r>
    </w:p>
    <w:p w14:paraId="09F5B7E4" w14:textId="77777777" w:rsidR="00E343F4" w:rsidRPr="00A735FA" w:rsidRDefault="00E343F4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3E9E6C" w14:textId="12A40C63" w:rsidR="000F515C" w:rsidRPr="000F515C" w:rsidRDefault="000F515C" w:rsidP="004B08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15C">
        <w:rPr>
          <w:rFonts w:ascii="Times New Roman" w:hAnsi="Times New Roman" w:cs="Times New Roman"/>
          <w:b/>
          <w:bCs/>
          <w:sz w:val="28"/>
          <w:szCs w:val="28"/>
        </w:rPr>
        <w:t xml:space="preserve">2.2.3 Аналитическое представление </w:t>
      </w:r>
      <w:proofErr w:type="spellStart"/>
      <w:r w:rsidRPr="000F51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зарядопереносной</w:t>
      </w:r>
      <w:proofErr w:type="spellEnd"/>
      <w:r w:rsidRPr="000F515C">
        <w:rPr>
          <w:rFonts w:ascii="Times New Roman" w:hAnsi="Times New Roman" w:cs="Times New Roman"/>
          <w:b/>
          <w:bCs/>
          <w:sz w:val="28"/>
          <w:szCs w:val="28"/>
        </w:rPr>
        <w:t xml:space="preserve"> ветви</w:t>
      </w:r>
    </w:p>
    <w:p w14:paraId="40C81456" w14:textId="77777777" w:rsidR="000F515C" w:rsidRPr="000F515C" w:rsidRDefault="000F515C" w:rsidP="004B0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D8E4E" w14:textId="43DE37AE" w:rsidR="000F515C" w:rsidRDefault="000F515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515C">
        <w:rPr>
          <w:rFonts w:ascii="Times New Roman" w:hAnsi="Times New Roman" w:cs="Times New Roman"/>
          <w:sz w:val="28"/>
          <w:szCs w:val="28"/>
        </w:rPr>
        <w:t xml:space="preserve">Для межфазной ветви используется параллельное соединение </w:t>
      </w:r>
      <w:proofErr w:type="spellStart"/>
      <w:r w:rsidRPr="000F515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F51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0F51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F51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1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F51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F515C">
        <w:rPr>
          <w:rFonts w:ascii="Times New Roman" w:hAnsi="Times New Roman" w:cs="Times New Roman"/>
          <w:sz w:val="28"/>
          <w:szCs w:val="28"/>
        </w:rPr>
        <w:t>Если записать проводимость этой ветви, то получаем</w:t>
      </w:r>
    </w:p>
    <w:p w14:paraId="780325A2" w14:textId="77777777" w:rsidR="000F515C" w:rsidRDefault="000F515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6E836" w14:textId="5D86DDEC" w:rsidR="000F515C" w:rsidRPr="00A735FA" w:rsidRDefault="00B263A4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3A4">
        <w:rPr>
          <w:rFonts w:ascii="Times New Roman" w:hAnsi="Times New Roman" w:cs="Times New Roman"/>
          <w:position w:val="-30"/>
          <w:sz w:val="28"/>
          <w:szCs w:val="28"/>
        </w:rPr>
        <w:object w:dxaOrig="1800" w:dyaOrig="680" w14:anchorId="3BA5D9B4">
          <v:shape id="_x0000_i1026" type="#_x0000_t75" style="width:90.15pt;height:33.8pt" o:ole="">
            <v:imagedata r:id="rId12" o:title=""/>
          </v:shape>
          <o:OLEObject Type="Embed" ProgID="Equation.DSMT4" ShapeID="_x0000_i1026" DrawAspect="Content" ObjectID="_1835979197" r:id="rId13"/>
        </w:objec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1D555536" w14:textId="77777777" w:rsidR="00B263A4" w:rsidRPr="00A735FA" w:rsidRDefault="00B263A4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EBCF6F" w14:textId="4DA3BB4D" w:rsidR="00B263A4" w:rsidRPr="00B263A4" w:rsidRDefault="00B263A4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3A4">
        <w:rPr>
          <w:rFonts w:ascii="Times New Roman" w:hAnsi="Times New Roman" w:cs="Times New Roman"/>
          <w:sz w:val="28"/>
          <w:szCs w:val="28"/>
        </w:rPr>
        <w:t xml:space="preserve">Тогда импеданс </w:t>
      </w:r>
      <w:proofErr w:type="spellStart"/>
      <w:r w:rsidRPr="00B263A4">
        <w:rPr>
          <w:rFonts w:ascii="Times New Roman" w:hAnsi="Times New Roman" w:cs="Times New Roman"/>
          <w:sz w:val="28"/>
          <w:szCs w:val="28"/>
        </w:rPr>
        <w:t>зарядопереносной</w:t>
      </w:r>
      <w:proofErr w:type="spellEnd"/>
      <w:r w:rsidRPr="00B263A4">
        <w:rPr>
          <w:rFonts w:ascii="Times New Roman" w:hAnsi="Times New Roman" w:cs="Times New Roman"/>
          <w:sz w:val="28"/>
          <w:szCs w:val="28"/>
        </w:rPr>
        <w:t xml:space="preserve"> ветви равен</w:t>
      </w:r>
    </w:p>
    <w:p w14:paraId="69BCBF57" w14:textId="77777777" w:rsidR="000F515C" w:rsidRPr="00B263A4" w:rsidRDefault="000F515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8578D" w14:textId="55EC8B70" w:rsidR="00B263A4" w:rsidRPr="00A735FA" w:rsidRDefault="00B263A4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63A4">
        <w:rPr>
          <w:rFonts w:ascii="Times New Roman" w:hAnsi="Times New Roman" w:cs="Times New Roman"/>
          <w:position w:val="-32"/>
          <w:sz w:val="28"/>
          <w:szCs w:val="28"/>
        </w:rPr>
        <w:object w:dxaOrig="2620" w:dyaOrig="700" w14:anchorId="6DC4FE15">
          <v:shape id="_x0000_i1027" type="#_x0000_t75" style="width:130.85pt;height:35.05pt" o:ole="">
            <v:imagedata r:id="rId14" o:title=""/>
          </v:shape>
          <o:OLEObject Type="Embed" ProgID="Equation.DSMT4" ShapeID="_x0000_i1027" DrawAspect="Content" ObjectID="_1835979198" r:id="rId15"/>
        </w:objec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2A5A1D6E" w14:textId="77777777" w:rsidR="00B263A4" w:rsidRPr="00A735FA" w:rsidRDefault="00B263A4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5EFE5F" w14:textId="5CC6279D" w:rsidR="00B263A4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C">
        <w:rPr>
          <w:rFonts w:ascii="Times New Roman" w:hAnsi="Times New Roman" w:cs="Times New Roman"/>
          <w:sz w:val="28"/>
          <w:szCs w:val="28"/>
        </w:rPr>
        <w:lastRenderedPageBreak/>
        <w:t>Это выражение имеет фундаментальный физический смысл. При низких частотах ёмкость двойного слоя «успевает» зарядиться, ток идёт преимущественно через резистивную ветвь, и</w:t>
      </w:r>
    </w:p>
    <w:p w14:paraId="2E1FAACC" w14:textId="77777777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BF05E4" w14:textId="3D871266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C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20" w:dyaOrig="380" w14:anchorId="5C918BFA">
          <v:shape id="_x0000_i1028" type="#_x0000_t75" style="width:55.7pt;height:18.8pt" o:ole="">
            <v:imagedata r:id="rId16" o:title=""/>
          </v:shape>
          <o:OLEObject Type="Embed" ProgID="Equation.DSMT4" ShapeID="_x0000_i1028" DrawAspect="Content" ObjectID="_1835979199" r:id="rId17"/>
        </w:objec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1CD7EEC9" w14:textId="77777777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126B1" w14:textId="1AFEE798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C">
        <w:rPr>
          <w:rFonts w:ascii="Times New Roman" w:hAnsi="Times New Roman" w:cs="Times New Roman"/>
          <w:sz w:val="28"/>
          <w:szCs w:val="28"/>
        </w:rPr>
        <w:t xml:space="preserve">При высоких частотах зарядка двойного слоя доминирует, а сопротивление этой ветви падает, так что её вклад в полный спектр уменьшается. Именно поэтому на диаграмме Найквиста возникает полукруг, диаметр которого в идеальном случае равен </w:t>
      </w:r>
      <w:proofErr w:type="spellStart"/>
      <w:r w:rsidRPr="00DC3B2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C3B2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DC3B2C">
        <w:rPr>
          <w:rFonts w:ascii="Times New Roman" w:hAnsi="Times New Roman" w:cs="Times New Roman"/>
          <w:sz w:val="28"/>
          <w:szCs w:val="28"/>
        </w:rPr>
        <w:t>, а характерная частота вершины определяется соотношением</w:t>
      </w:r>
    </w:p>
    <w:p w14:paraId="6D3304C2" w14:textId="77777777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F5F1E" w14:textId="4258C2F1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C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1180" w:dyaOrig="680" w14:anchorId="4D52710D">
          <v:shape id="_x0000_i1029" type="#_x0000_t75" style="width:58.85pt;height:33.8pt" o:ole="">
            <v:imagedata r:id="rId18" o:title=""/>
          </v:shape>
          <o:OLEObject Type="Embed" ProgID="Equation.DSMT4" ShapeID="_x0000_i1029" DrawAspect="Content" ObjectID="_1835979200" r:id="rId19"/>
        </w:objec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2F84C3D5" w14:textId="77777777" w:rsidR="00DC3B2C" w:rsidRPr="00A735FA" w:rsidRDefault="00DC3B2C" w:rsidP="000F51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C163C0" w14:textId="6043D44A" w:rsidR="00DC3B2C" w:rsidRPr="00A735FA" w:rsidRDefault="00DC3B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C">
        <w:rPr>
          <w:rFonts w:ascii="Times New Roman" w:hAnsi="Times New Roman" w:cs="Times New Roman"/>
          <w:sz w:val="28"/>
          <w:szCs w:val="28"/>
        </w:rPr>
        <w:t xml:space="preserve">Последнее выражение получается из условия экстремума мнимой части ветви </w:t>
      </w:r>
      <w:proofErr w:type="spellStart"/>
      <w:proofErr w:type="gramStart"/>
      <w:r w:rsidRPr="00DC3B2C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DC3B2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DC3B2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</w:t>
      </w:r>
      <w:r w:rsidRPr="00DC3B2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DC3B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C3B2C">
        <w:rPr>
          <w:rFonts w:ascii="Times New Roman" w:hAnsi="Times New Roman" w:cs="Times New Roman"/>
          <w:sz w:val="28"/>
          <w:szCs w:val="28"/>
        </w:rPr>
        <w:t xml:space="preserve"> Оно особенно важно в практической идентификации, поскольку позволяет связать геометрию спектра с параметрами модели. С научной точки зрения это даёт строгий мост между межфазной кинетикой и формой EIS-спектра. С практической точки зрения это позволяет по одной области спектра восстанавливать два ключевых параметра — </w:t>
      </w:r>
      <w:proofErr w:type="spellStart"/>
      <w:r w:rsidRPr="00DC3B2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C3B2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C3B2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DC3B2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DC3B2C">
        <w:rPr>
          <w:rFonts w:ascii="Times New Roman" w:hAnsi="Times New Roman" w:cs="Times New Roman"/>
          <w:sz w:val="28"/>
          <w:szCs w:val="28"/>
        </w:rPr>
        <w:t>.</w:t>
      </w:r>
      <w:r w:rsidR="008D3B8C" w:rsidRPr="008D3B8C">
        <w:rPr>
          <w:rFonts w:ascii="Times New Roman" w:hAnsi="Times New Roman" w:cs="Times New Roman"/>
          <w:sz w:val="28"/>
          <w:szCs w:val="28"/>
        </w:rPr>
        <w:t xml:space="preserve"> ((</w:t>
      </w:r>
      <w:hyperlink r:id="rId20" w:history="1">
        <w:r w:rsidR="008D3B8C" w:rsidRPr="004B0B91">
          <w:rPr>
            <w:rStyle w:val="ad"/>
            <w:rFonts w:ascii="Times New Roman" w:hAnsi="Times New Roman" w:cs="Times New Roman"/>
            <w:sz w:val="28"/>
            <w:szCs w:val="28"/>
          </w:rPr>
          <w:t>https://doi.org/10.1039/DF9470100011)(https://doi.org/10.1016/j.jelechem.2020.114145)</w:t>
        </w:r>
      </w:hyperlink>
      <w:r w:rsidR="008D3B8C" w:rsidRPr="008D3B8C">
        <w:rPr>
          <w:rFonts w:ascii="Times New Roman" w:hAnsi="Times New Roman" w:cs="Times New Roman"/>
          <w:sz w:val="28"/>
          <w:szCs w:val="28"/>
        </w:rPr>
        <w:t>).</w:t>
      </w:r>
    </w:p>
    <w:p w14:paraId="1E724809" w14:textId="77777777" w:rsidR="008D3B8C" w:rsidRPr="00A735FA" w:rsidRDefault="008D3B8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D1F3A7" w14:textId="6FDAC981" w:rsidR="00E905B9" w:rsidRPr="00E905B9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05B9">
        <w:rPr>
          <w:rFonts w:ascii="Times New Roman" w:hAnsi="Times New Roman" w:cs="Times New Roman"/>
          <w:b/>
          <w:bCs/>
          <w:sz w:val="28"/>
          <w:szCs w:val="28"/>
        </w:rPr>
        <w:t>2.2.4 Аналитическое представление диффузионной составляющей</w:t>
      </w:r>
    </w:p>
    <w:p w14:paraId="4349F68E" w14:textId="77777777" w:rsidR="00E905B9" w:rsidRPr="00E905B9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0C24D" w14:textId="79549355" w:rsidR="00E905B9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5B9">
        <w:rPr>
          <w:rFonts w:ascii="Times New Roman" w:hAnsi="Times New Roman" w:cs="Times New Roman"/>
          <w:sz w:val="28"/>
          <w:szCs w:val="28"/>
        </w:rPr>
        <w:lastRenderedPageBreak/>
        <w:t xml:space="preserve">Диффузионный элемент в базовой модели записывается в форме </w:t>
      </w:r>
      <w:r w:rsidRPr="00E905B9">
        <w:rPr>
          <w:rFonts w:ascii="Times New Roman" w:hAnsi="Times New Roman" w:cs="Times New Roman"/>
          <w:sz w:val="28"/>
          <w:szCs w:val="28"/>
          <w:highlight w:val="green"/>
        </w:rPr>
        <w:t>импеданса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05B9">
        <w:rPr>
          <w:rFonts w:ascii="Times New Roman" w:hAnsi="Times New Roman" w:cs="Times New Roman"/>
          <w:sz w:val="28"/>
          <w:szCs w:val="28"/>
        </w:rPr>
        <w:t>Варбурга:</w:t>
      </w:r>
    </w:p>
    <w:p w14:paraId="1476DD6F" w14:textId="77777777" w:rsidR="00E905B9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7D7E2C" w14:textId="590B676F" w:rsidR="00E905B9" w:rsidRPr="00A735FA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5B9">
        <w:rPr>
          <w:rFonts w:ascii="Times New Roman" w:hAnsi="Times New Roman" w:cs="Times New Roman"/>
          <w:position w:val="-32"/>
          <w:sz w:val="28"/>
          <w:szCs w:val="28"/>
        </w:rPr>
        <w:object w:dxaOrig="1420" w:dyaOrig="700" w14:anchorId="60C42B70">
          <v:shape id="_x0000_i1030" type="#_x0000_t75" style="width:71.35pt;height:35.05pt" o:ole="">
            <v:imagedata r:id="rId21" o:title=""/>
          </v:shape>
          <o:OLEObject Type="Embed" ProgID="Equation.DSMT4" ShapeID="_x0000_i1030" DrawAspect="Content" ObjectID="_1835979201" r:id="rId22"/>
        </w:object>
      </w:r>
      <w:r w:rsidRPr="00A735FA">
        <w:rPr>
          <w:rFonts w:ascii="Times New Roman" w:hAnsi="Times New Roman" w:cs="Times New Roman"/>
          <w:sz w:val="28"/>
          <w:szCs w:val="28"/>
        </w:rPr>
        <w:t>,</w:t>
      </w:r>
    </w:p>
    <w:p w14:paraId="0313493A" w14:textId="77777777" w:rsidR="00E905B9" w:rsidRPr="00A735FA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2409CB" w14:textId="35FF84FB" w:rsidR="00E905B9" w:rsidRPr="00A735FA" w:rsidRDefault="00E905B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Pr="00A735FA">
        <w:rPr>
          <w:rFonts w:ascii="Times New Roman" w:hAnsi="Times New Roman" w:cs="Times New Roman"/>
          <w:sz w:val="28"/>
          <w:szCs w:val="28"/>
        </w:rPr>
        <w:t xml:space="preserve"> </w:t>
      </w:r>
      <w:r w:rsidRPr="00E905B9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A735FA">
        <w:rPr>
          <w:rFonts w:ascii="Times New Roman" w:hAnsi="Times New Roman" w:cs="Times New Roman"/>
          <w:sz w:val="28"/>
          <w:szCs w:val="28"/>
        </w:rPr>
        <w:t xml:space="preserve"> </w:t>
      </w:r>
      <w:r w:rsidRPr="00E905B9">
        <w:rPr>
          <w:rFonts w:ascii="Times New Roman" w:hAnsi="Times New Roman" w:cs="Times New Roman"/>
          <w:sz w:val="28"/>
          <w:szCs w:val="28"/>
        </w:rPr>
        <w:t>— коэффициент Варбурга</w: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00FA0D07" w14:textId="620D7072" w:rsidR="00E905B9" w:rsidRPr="00C97C98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C98">
        <w:rPr>
          <w:rFonts w:ascii="Times New Roman" w:hAnsi="Times New Roman" w:cs="Times New Roman"/>
          <w:sz w:val="28"/>
          <w:szCs w:val="28"/>
        </w:rPr>
        <w:t xml:space="preserve">Эта формула соответствует полуограниченной диффузии и отражает ситуацию, когда глубина проникновения гармонического возмущения существенно меньше характерного диффузионного размера области. Тогда диффузионный отклик не «чувствует» конечности размера частицы или слоя и подчиняется закону </w:t>
      </w:r>
      <w:r w:rsidRPr="00C97C98">
        <w:rPr>
          <w:rFonts w:ascii="Times New Roman" w:hAnsi="Times New Roman" w:cs="Times New Roman"/>
          <w:i/>
          <w:iCs/>
          <w:sz w:val="28"/>
          <w:szCs w:val="28"/>
        </w:rPr>
        <w:t>ω</w:t>
      </w:r>
      <w:r w:rsidRPr="00C97C98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-1/2</w:t>
      </w:r>
      <w:r w:rsidRPr="00C97C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1B0F94" w14:textId="747E1363" w:rsidR="00C97C98" w:rsidRPr="00A735FA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C98">
        <w:rPr>
          <w:rFonts w:ascii="Times New Roman" w:hAnsi="Times New Roman" w:cs="Times New Roman"/>
          <w:sz w:val="28"/>
          <w:szCs w:val="28"/>
        </w:rPr>
        <w:t>Если раскрыть комплексный корень, получаем</w:t>
      </w:r>
    </w:p>
    <w:p w14:paraId="376DFE55" w14:textId="77777777" w:rsidR="00C97C98" w:rsidRPr="00A735FA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194D5A" w14:textId="1E98A6ED" w:rsidR="00C97C98" w:rsidRPr="00A735FA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C98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1060" w:dyaOrig="660" w14:anchorId="228F7F02">
          <v:shape id="_x0000_i1031" type="#_x0000_t75" style="width:53.2pt;height:33.2pt" o:ole="">
            <v:imagedata r:id="rId23" o:title=""/>
          </v:shape>
          <o:OLEObject Type="Embed" ProgID="Equation.DSMT4" ShapeID="_x0000_i1031" DrawAspect="Content" ObjectID="_1835979202" r:id="rId24"/>
        </w:object>
      </w:r>
      <w:r w:rsidRPr="00A735FA">
        <w:rPr>
          <w:rFonts w:ascii="Times New Roman" w:hAnsi="Times New Roman" w:cs="Times New Roman"/>
          <w:sz w:val="28"/>
          <w:szCs w:val="28"/>
        </w:rPr>
        <w:t xml:space="preserve">, </w:t>
      </w:r>
      <w:r w:rsidRPr="00C97C98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1860" w:dyaOrig="660" w14:anchorId="70079064">
          <v:shape id="_x0000_i1032" type="#_x0000_t75" style="width:93.3pt;height:33.2pt" o:ole="">
            <v:imagedata r:id="rId25" o:title=""/>
          </v:shape>
          <o:OLEObject Type="Embed" ProgID="Equation.DSMT4" ShapeID="_x0000_i1032" DrawAspect="Content" ObjectID="_1835979203" r:id="rId26"/>
        </w:objec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17996E21" w14:textId="77777777" w:rsidR="00C97C98" w:rsidRPr="00A735FA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CBC3D" w14:textId="42DFC766" w:rsidR="00C97C98" w:rsidRPr="00A735FA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C98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59C73D1C" w14:textId="77777777" w:rsidR="00C97C98" w:rsidRPr="00A735FA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30E84" w14:textId="1BE0825A" w:rsidR="00C97C98" w:rsidRPr="009500CD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C9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580" w:dyaOrig="380" w14:anchorId="6EC4C9D9">
          <v:shape id="_x0000_i1033" type="#_x0000_t75" style="width:128.95pt;height:18.8pt" o:ole="">
            <v:imagedata r:id="rId27" o:title=""/>
          </v:shape>
          <o:OLEObject Type="Embed" ProgID="Equation.DSMT4" ShapeID="_x0000_i1033" DrawAspect="Content" ObjectID="_1835979204" r:id="rId28"/>
        </w:object>
      </w:r>
      <w:r w:rsidRPr="009500CD">
        <w:rPr>
          <w:rFonts w:ascii="Times New Roman" w:hAnsi="Times New Roman" w:cs="Times New Roman"/>
          <w:sz w:val="28"/>
          <w:szCs w:val="28"/>
        </w:rPr>
        <w:t>.</w:t>
      </w:r>
    </w:p>
    <w:p w14:paraId="432032AC" w14:textId="77777777" w:rsidR="00C97C98" w:rsidRPr="009500CD" w:rsidRDefault="00C97C9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FBA07" w14:textId="2768F529" w:rsidR="00C97C98" w:rsidRPr="00A735FA" w:rsidRDefault="009500CD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0CD">
        <w:rPr>
          <w:rFonts w:ascii="Times New Roman" w:hAnsi="Times New Roman" w:cs="Times New Roman"/>
          <w:sz w:val="28"/>
          <w:szCs w:val="28"/>
        </w:rPr>
        <w:t>Именно это соотношение и создаёт прямолинейный низкочастотный участок под углом 45</w:t>
      </w:r>
      <w:r>
        <w:rPr>
          <w:rFonts w:ascii="Times New Roman" w:hAnsi="Times New Roman" w:cs="Times New Roman"/>
          <w:sz w:val="28"/>
          <w:szCs w:val="28"/>
        </w:rPr>
        <w:t>⁰</w:t>
      </w:r>
      <w:r w:rsidRPr="009500CD">
        <w:rPr>
          <w:rFonts w:ascii="Times New Roman" w:hAnsi="Times New Roman" w:cs="Times New Roman"/>
          <w:sz w:val="28"/>
          <w:szCs w:val="28"/>
        </w:rPr>
        <w:t xml:space="preserve"> на диаграмме Найквиста.</w:t>
      </w:r>
    </w:p>
    <w:p w14:paraId="7B23CB71" w14:textId="07230D1A" w:rsidR="009500CD" w:rsidRPr="00A735FA" w:rsidRDefault="009500CD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0CD">
        <w:rPr>
          <w:rFonts w:ascii="Times New Roman" w:hAnsi="Times New Roman" w:cs="Times New Roman"/>
          <w:sz w:val="28"/>
          <w:szCs w:val="28"/>
        </w:rPr>
        <w:t xml:space="preserve">При этом современная литература подчёркивает, что классическая формула Варбурга не должна применяться автоматически. Работа </w:t>
      </w:r>
      <w:proofErr w:type="spellStart"/>
      <w:r w:rsidRPr="009500CD">
        <w:rPr>
          <w:rFonts w:ascii="Times New Roman" w:hAnsi="Times New Roman" w:cs="Times New Roman"/>
          <w:sz w:val="28"/>
          <w:szCs w:val="28"/>
        </w:rPr>
        <w:t>Barbero</w:t>
      </w:r>
      <w:proofErr w:type="spellEnd"/>
      <w:r w:rsidRPr="009500CD">
        <w:rPr>
          <w:rFonts w:ascii="Times New Roman" w:hAnsi="Times New Roman" w:cs="Times New Roman"/>
          <w:sz w:val="28"/>
          <w:szCs w:val="28"/>
        </w:rPr>
        <w:t xml:space="preserve"> показала, что </w:t>
      </w:r>
      <w:r w:rsidRPr="009500CD">
        <w:rPr>
          <w:rFonts w:ascii="Times New Roman" w:hAnsi="Times New Roman" w:cs="Times New Roman"/>
          <w:sz w:val="28"/>
          <w:szCs w:val="28"/>
        </w:rPr>
        <w:lastRenderedPageBreak/>
        <w:t xml:space="preserve">традиционные выводы импеданса Варбурга в ряде случаев опираются на слишком грубые предположения, и без строгого учёта граничных условий и природы массопереноса возможна ошибочная интерпретация спектра. Поэтому в настоящей работе элемент Варбурга используется как базовое аналитическое приближение для той области, где доминирует именно </w:t>
      </w:r>
      <w:proofErr w:type="spellStart"/>
      <w:r w:rsidRPr="009500CD">
        <w:rPr>
          <w:rFonts w:ascii="Times New Roman" w:hAnsi="Times New Roman" w:cs="Times New Roman"/>
          <w:sz w:val="28"/>
          <w:szCs w:val="28"/>
        </w:rPr>
        <w:t>диффузионно</w:t>
      </w:r>
      <w:proofErr w:type="spellEnd"/>
      <w:r w:rsidRPr="009500CD">
        <w:rPr>
          <w:rFonts w:ascii="Times New Roman" w:hAnsi="Times New Roman" w:cs="Times New Roman"/>
          <w:sz w:val="28"/>
          <w:szCs w:val="28"/>
        </w:rPr>
        <w:t xml:space="preserve"> ограниченный отклик, а не как универсальное описание всех низкочастотных эффектов. ((</w:t>
      </w:r>
      <w:hyperlink r:id="rId29" w:history="1">
        <w:r w:rsidRPr="004B0B91">
          <w:rPr>
            <w:rStyle w:val="ad"/>
            <w:rFonts w:ascii="Times New Roman" w:hAnsi="Times New Roman" w:cs="Times New Roman"/>
            <w:sz w:val="28"/>
            <w:szCs w:val="28"/>
          </w:rPr>
          <w:t>https://doi.org/10.1039/C6CP05049B)</w:t>
        </w:r>
      </w:hyperlink>
      <w:r w:rsidRPr="009500CD">
        <w:rPr>
          <w:rFonts w:ascii="Times New Roman" w:hAnsi="Times New Roman" w:cs="Times New Roman"/>
          <w:sz w:val="28"/>
          <w:szCs w:val="28"/>
        </w:rPr>
        <w:t>).</w:t>
      </w:r>
    </w:p>
    <w:p w14:paraId="2E27E4DF" w14:textId="77777777" w:rsidR="009500CD" w:rsidRPr="00A735FA" w:rsidRDefault="009500CD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49940" w14:textId="0D99B1A7" w:rsidR="009500CD" w:rsidRPr="009500CD" w:rsidRDefault="009500CD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0CD">
        <w:rPr>
          <w:rFonts w:ascii="Times New Roman" w:hAnsi="Times New Roman" w:cs="Times New Roman"/>
          <w:b/>
          <w:bCs/>
          <w:sz w:val="28"/>
          <w:szCs w:val="28"/>
        </w:rPr>
        <w:t>2.2.5 Итоговая аналитическая форма комплексного импеданса</w:t>
      </w:r>
    </w:p>
    <w:p w14:paraId="1DDB57FF" w14:textId="77777777" w:rsidR="009500CD" w:rsidRPr="00A735FA" w:rsidRDefault="009500CD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4264D" w14:textId="25C918D2" w:rsidR="009500CD" w:rsidRPr="00A735F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19A">
        <w:rPr>
          <w:rFonts w:ascii="Times New Roman" w:hAnsi="Times New Roman" w:cs="Times New Roman"/>
          <w:sz w:val="28"/>
          <w:szCs w:val="28"/>
        </w:rPr>
        <w:t xml:space="preserve">Объединяя последовательную омическую ветвь, параллельную </w:t>
      </w:r>
      <w:proofErr w:type="spellStart"/>
      <w:r w:rsidRPr="0090419A">
        <w:rPr>
          <w:rFonts w:ascii="Times New Roman" w:hAnsi="Times New Roman" w:cs="Times New Roman"/>
          <w:sz w:val="28"/>
          <w:szCs w:val="28"/>
        </w:rPr>
        <w:t>зарядопереносную</w:t>
      </w:r>
      <w:proofErr w:type="spellEnd"/>
      <w:r w:rsidRPr="0090419A">
        <w:rPr>
          <w:rFonts w:ascii="Times New Roman" w:hAnsi="Times New Roman" w:cs="Times New Roman"/>
          <w:sz w:val="28"/>
          <w:szCs w:val="28"/>
        </w:rPr>
        <w:t xml:space="preserve"> ветвь и диффузионный элемент, получаем итоговую аналитическую форму импеданса:</w:t>
      </w:r>
    </w:p>
    <w:p w14:paraId="37FC494F" w14:textId="77777777" w:rsidR="0090419A" w:rsidRPr="00A735F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7FADB" w14:textId="3B11B3A4" w:rsidR="0090419A" w:rsidRPr="00A735F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19A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3200" w:dyaOrig="700" w14:anchorId="24B6E0B2">
          <v:shape id="_x0000_i1034" type="#_x0000_t75" style="width:160.3pt;height:35.05pt" o:ole="">
            <v:imagedata r:id="rId30" o:title=""/>
          </v:shape>
          <o:OLEObject Type="Embed" ProgID="Equation.DSMT4" ShapeID="_x0000_i1034" DrawAspect="Content" ObjectID="_1835979205" r:id="rId31"/>
        </w:objec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0F5F80A0" w14:textId="77777777" w:rsidR="0090419A" w:rsidRPr="00A735F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1D51B" w14:textId="59A862E5" w:rsidR="0090419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19A">
        <w:rPr>
          <w:rFonts w:ascii="Times New Roman" w:hAnsi="Times New Roman" w:cs="Times New Roman"/>
          <w:sz w:val="28"/>
          <w:szCs w:val="28"/>
        </w:rPr>
        <w:t>Это выражение и является базовой аналитической моделью комплексного импеданса в рамках главы 2. Оно важно потому, что связывает измеряемый спектр с физически осмысленными параметрами. В дальнейшем именно эта форма будет расширена до зависимости</w:t>
      </w:r>
    </w:p>
    <w:p w14:paraId="70315F27" w14:textId="77777777" w:rsidR="0090419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A214FC" w14:textId="6518B901" w:rsidR="0090419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19A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100" w:dyaOrig="400" w14:anchorId="490D9FDB">
          <v:shape id="_x0000_i1035" type="#_x0000_t75" style="width:105.2pt;height:19.4pt" o:ole="">
            <v:imagedata r:id="rId32" o:title=""/>
          </v:shape>
          <o:OLEObject Type="Embed" ProgID="Equation.DSMT4" ShapeID="_x0000_i1035" DrawAspect="Content" ObjectID="_1835979206" r:id="rId33"/>
        </w:object>
      </w:r>
    </w:p>
    <w:p w14:paraId="77C4B352" w14:textId="77777777" w:rsidR="0090419A" w:rsidRPr="0090419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FF87D" w14:textId="0B94A0ED" w:rsidR="0090419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53EAA7DC" w14:textId="448B1584" w:rsidR="0090419A" w:rsidRPr="00A735F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338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A735FA">
        <w:rPr>
          <w:rFonts w:ascii="Times New Roman" w:hAnsi="Times New Roman" w:cs="Times New Roman"/>
          <w:sz w:val="28"/>
          <w:szCs w:val="28"/>
        </w:rPr>
        <w:t xml:space="preserve"> – </w:t>
      </w:r>
      <w:r w:rsidRPr="0090419A">
        <w:rPr>
          <w:rFonts w:ascii="Times New Roman" w:hAnsi="Times New Roman" w:cs="Times New Roman"/>
          <w:sz w:val="28"/>
          <w:szCs w:val="28"/>
        </w:rPr>
        <w:t>температура</w:t>
      </w:r>
      <w:r w:rsidRPr="00A735FA">
        <w:rPr>
          <w:rFonts w:ascii="Times New Roman" w:hAnsi="Times New Roman" w:cs="Times New Roman"/>
          <w:sz w:val="28"/>
          <w:szCs w:val="28"/>
        </w:rPr>
        <w:t>,</w:t>
      </w:r>
    </w:p>
    <w:p w14:paraId="7724C87C" w14:textId="3B62552B" w:rsidR="0090419A" w:rsidRPr="00A735FA" w:rsidRDefault="0090419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338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SOC</w:t>
      </w:r>
      <w:r w:rsidRPr="00A735FA">
        <w:rPr>
          <w:rFonts w:ascii="Times New Roman" w:hAnsi="Times New Roman" w:cs="Times New Roman"/>
          <w:sz w:val="28"/>
          <w:szCs w:val="28"/>
        </w:rPr>
        <w:t xml:space="preserve"> – </w:t>
      </w:r>
      <w:r w:rsidRPr="0090419A">
        <w:rPr>
          <w:rFonts w:ascii="Times New Roman" w:hAnsi="Times New Roman" w:cs="Times New Roman"/>
          <w:sz w:val="28"/>
          <w:szCs w:val="28"/>
        </w:rPr>
        <w:t>состояние заряда</w:t>
      </w:r>
      <w:r w:rsidRPr="00A735FA">
        <w:rPr>
          <w:rFonts w:ascii="Times New Roman" w:hAnsi="Times New Roman" w:cs="Times New Roman"/>
          <w:sz w:val="28"/>
          <w:szCs w:val="28"/>
        </w:rPr>
        <w:t>,</w:t>
      </w:r>
    </w:p>
    <w:p w14:paraId="72131E38" w14:textId="557FE568" w:rsidR="0090419A" w:rsidRPr="00A735FA" w:rsidRDefault="00C5633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338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A735FA">
        <w:rPr>
          <w:rFonts w:ascii="Times New Roman" w:hAnsi="Times New Roman" w:cs="Times New Roman"/>
          <w:sz w:val="28"/>
          <w:szCs w:val="28"/>
        </w:rPr>
        <w:t xml:space="preserve"> – </w:t>
      </w:r>
      <w:r w:rsidRPr="00C56338">
        <w:rPr>
          <w:rFonts w:ascii="Times New Roman" w:hAnsi="Times New Roman" w:cs="Times New Roman"/>
          <w:sz w:val="28"/>
          <w:szCs w:val="28"/>
        </w:rPr>
        <w:t>параметр деградации.</w:t>
      </w:r>
    </w:p>
    <w:p w14:paraId="0A805159" w14:textId="651DFD5F" w:rsidR="00C56338" w:rsidRPr="00A735FA" w:rsidRDefault="00C5633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338">
        <w:rPr>
          <w:rFonts w:ascii="Times New Roman" w:hAnsi="Times New Roman" w:cs="Times New Roman"/>
          <w:sz w:val="28"/>
          <w:szCs w:val="28"/>
        </w:rPr>
        <w:t>На данном этапе, однако, принципиально важно зафиксировать именно базовое ядро модели, не перегружая её вторичными поправками.</w:t>
      </w:r>
    </w:p>
    <w:p w14:paraId="54CA3DE4" w14:textId="19C7FC98" w:rsidR="00C56338" w:rsidRPr="00A735FA" w:rsidRDefault="00C5633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6338">
        <w:rPr>
          <w:rFonts w:ascii="Times New Roman" w:hAnsi="Times New Roman" w:cs="Times New Roman"/>
          <w:sz w:val="28"/>
          <w:szCs w:val="28"/>
        </w:rPr>
        <w:t>Для наглядной интерпретации итогового аналитического выражения полезно рассмотреть, как отдельные члены модели формируют полный спектральный отклик батареи.</w:t>
      </w:r>
    </w:p>
    <w:p w14:paraId="0B54401D" w14:textId="77777777" w:rsidR="00C56338" w:rsidRPr="00A735FA" w:rsidRDefault="00C5633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C7F57" w14:textId="650DB84A" w:rsidR="00C56338" w:rsidRDefault="00E0286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F02388" wp14:editId="7ADBE0C6">
            <wp:extent cx="6119495" cy="3693795"/>
            <wp:effectExtent l="0" t="0" r="0" b="1905"/>
            <wp:docPr id="6886096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577F" w14:textId="08E3EC5B" w:rsidR="00E0286A" w:rsidRPr="00A735FA" w:rsidRDefault="00E0286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86A">
        <w:rPr>
          <w:rFonts w:ascii="Times New Roman" w:hAnsi="Times New Roman" w:cs="Times New Roman"/>
          <w:sz w:val="28"/>
          <w:szCs w:val="28"/>
        </w:rPr>
        <w:t>Рисунок 2.4 — Разложение комплексного импеданса на основные составляющие</w:t>
      </w:r>
    </w:p>
    <w:p w14:paraId="5E72C3FA" w14:textId="77777777" w:rsidR="00E0286A" w:rsidRPr="00A735FA" w:rsidRDefault="00E0286A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ED3B0" w14:textId="33B01E08" w:rsidR="00E0286A" w:rsidRPr="00A735FA" w:rsidRDefault="00EA71E1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E1">
        <w:rPr>
          <w:rFonts w:ascii="Times New Roman" w:hAnsi="Times New Roman" w:cs="Times New Roman"/>
          <w:sz w:val="28"/>
          <w:szCs w:val="28"/>
        </w:rPr>
        <w:t xml:space="preserve">На рисунке представлены модуль полного импеданса и отдельные вклады: омическая составляющая, </w:t>
      </w:r>
      <w:proofErr w:type="spellStart"/>
      <w:r w:rsidRPr="00EA71E1">
        <w:rPr>
          <w:rFonts w:ascii="Times New Roman" w:hAnsi="Times New Roman" w:cs="Times New Roman"/>
          <w:sz w:val="28"/>
          <w:szCs w:val="28"/>
        </w:rPr>
        <w:t>зарядопереносная</w:t>
      </w:r>
      <w:proofErr w:type="spellEnd"/>
      <w:r w:rsidRPr="00EA71E1">
        <w:rPr>
          <w:rFonts w:ascii="Times New Roman" w:hAnsi="Times New Roman" w:cs="Times New Roman"/>
          <w:sz w:val="28"/>
          <w:szCs w:val="28"/>
        </w:rPr>
        <w:t xml:space="preserve"> составляющая и диффузионная составляющая. Видно, что в высокочастотной области доминирует </w:t>
      </w:r>
      <w:r w:rsidRPr="00EA71E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A71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A71E1">
        <w:rPr>
          <w:rFonts w:ascii="Times New Roman" w:hAnsi="Times New Roman" w:cs="Times New Roman"/>
          <w:sz w:val="28"/>
          <w:szCs w:val="28"/>
        </w:rPr>
        <w:t xml:space="preserve">, в </w:t>
      </w:r>
      <w:r w:rsidRPr="00EA71E1">
        <w:rPr>
          <w:rFonts w:ascii="Times New Roman" w:hAnsi="Times New Roman" w:cs="Times New Roman"/>
          <w:sz w:val="28"/>
          <w:szCs w:val="28"/>
        </w:rPr>
        <w:lastRenderedPageBreak/>
        <w:t xml:space="preserve">среднечастотной зоне основную роль играет ветвь </w:t>
      </w:r>
      <w:proofErr w:type="spellStart"/>
      <w:r w:rsidRPr="00EA71E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A71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A7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7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71E1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A71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EA71E1">
        <w:rPr>
          <w:rFonts w:ascii="Times New Roman" w:hAnsi="Times New Roman" w:cs="Times New Roman"/>
          <w:sz w:val="28"/>
          <w:szCs w:val="28"/>
        </w:rPr>
        <w:t>, а в низкочастотной области заметно возрастает диффузионный вклад.</w:t>
      </w:r>
    </w:p>
    <w:p w14:paraId="429800D9" w14:textId="4A4BA4DD" w:rsidR="00EA71E1" w:rsidRPr="00A735FA" w:rsidRDefault="00EA71E1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71E1">
        <w:rPr>
          <w:rFonts w:ascii="Times New Roman" w:hAnsi="Times New Roman" w:cs="Times New Roman"/>
          <w:sz w:val="28"/>
          <w:szCs w:val="28"/>
        </w:rPr>
        <w:t xml:space="preserve">Научная ценность рисунка заключается в </w:t>
      </w:r>
      <w:r w:rsidRPr="00EA71E1">
        <w:rPr>
          <w:rFonts w:ascii="Times New Roman" w:hAnsi="Times New Roman" w:cs="Times New Roman"/>
          <w:sz w:val="28"/>
          <w:szCs w:val="28"/>
          <w:highlight w:val="yellow"/>
        </w:rPr>
        <w:t>явном показе того</w:t>
      </w:r>
      <w:r w:rsidRPr="00EA71E1">
        <w:rPr>
          <w:rFonts w:ascii="Times New Roman" w:hAnsi="Times New Roman" w:cs="Times New Roman"/>
          <w:sz w:val="28"/>
          <w:szCs w:val="28"/>
        </w:rPr>
        <w:t xml:space="preserve">, что спектр батареи является суперпозицией нескольких процессов различной природы. Практическая ценность состоит в том, что он обосновывает выбор частотных окон для дальнейшей идентификации параметров: высокие частоты — для </w:t>
      </w:r>
      <w:r w:rsidRPr="00EA71E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A71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A71E1">
        <w:rPr>
          <w:rFonts w:ascii="Times New Roman" w:hAnsi="Times New Roman" w:cs="Times New Roman"/>
          <w:sz w:val="28"/>
          <w:szCs w:val="28"/>
        </w:rPr>
        <w:t xml:space="preserve">, средние — для </w:t>
      </w:r>
      <w:proofErr w:type="spellStart"/>
      <w:r w:rsidRPr="00EA71E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EA71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EA7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7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71E1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A71E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EA71E1">
        <w:rPr>
          <w:rFonts w:ascii="Times New Roman" w:hAnsi="Times New Roman" w:cs="Times New Roman"/>
          <w:sz w:val="28"/>
          <w:szCs w:val="28"/>
        </w:rPr>
        <w:t xml:space="preserve">, низкие — для </w:t>
      </w:r>
      <w:r w:rsidRPr="00EA71E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EA71E1">
        <w:rPr>
          <w:rFonts w:ascii="Times New Roman" w:hAnsi="Times New Roman" w:cs="Times New Roman"/>
          <w:sz w:val="28"/>
          <w:szCs w:val="28"/>
        </w:rPr>
        <w:t>.</w:t>
      </w:r>
    </w:p>
    <w:p w14:paraId="59A19B8D" w14:textId="77777777" w:rsidR="00EA71E1" w:rsidRPr="00A735FA" w:rsidRDefault="00EA71E1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9906DC" w14:textId="1490B1BD" w:rsidR="00EA71E1" w:rsidRPr="00466767" w:rsidRDefault="00466767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767">
        <w:rPr>
          <w:rFonts w:ascii="Times New Roman" w:hAnsi="Times New Roman" w:cs="Times New Roman"/>
          <w:b/>
          <w:bCs/>
          <w:sz w:val="28"/>
          <w:szCs w:val="28"/>
        </w:rPr>
        <w:t>2.2.6 Модифицированные схемы замещения для тяговых аккумуляторов</w:t>
      </w:r>
    </w:p>
    <w:p w14:paraId="05654B1D" w14:textId="77777777" w:rsidR="00EA71E1" w:rsidRPr="00A735FA" w:rsidRDefault="00EA71E1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A44D7" w14:textId="6D026FBB" w:rsidR="00466767" w:rsidRPr="00A735FA" w:rsidRDefault="00C3504E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04E">
        <w:rPr>
          <w:rFonts w:ascii="Times New Roman" w:hAnsi="Times New Roman" w:cs="Times New Roman"/>
          <w:sz w:val="28"/>
          <w:szCs w:val="28"/>
        </w:rPr>
        <w:t xml:space="preserve">Хотя базовая схема </w:t>
      </w:r>
      <w:proofErr w:type="spellStart"/>
      <w:r w:rsidRPr="00C3504E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C3504E">
        <w:rPr>
          <w:rFonts w:ascii="Times New Roman" w:hAnsi="Times New Roman" w:cs="Times New Roman"/>
          <w:sz w:val="28"/>
          <w:szCs w:val="28"/>
        </w:rPr>
        <w:t xml:space="preserve"> удобна как математическое ядро, реальные тяговые аккумуляторы часто требуют более сложных схем. Причины этого связаны с </w:t>
      </w:r>
      <w:proofErr w:type="spellStart"/>
      <w:r w:rsidRPr="00C3504E">
        <w:rPr>
          <w:rFonts w:ascii="Times New Roman" w:hAnsi="Times New Roman" w:cs="Times New Roman"/>
          <w:sz w:val="28"/>
          <w:szCs w:val="28"/>
        </w:rPr>
        <w:t>неидеальностью</w:t>
      </w:r>
      <w:proofErr w:type="spellEnd"/>
      <w:r w:rsidRPr="00C3504E">
        <w:rPr>
          <w:rFonts w:ascii="Times New Roman" w:hAnsi="Times New Roman" w:cs="Times New Roman"/>
          <w:sz w:val="28"/>
          <w:szCs w:val="28"/>
        </w:rPr>
        <w:t xml:space="preserve"> интерфейса, </w:t>
      </w:r>
      <w:proofErr w:type="spellStart"/>
      <w:r w:rsidRPr="00C3504E">
        <w:rPr>
          <w:rFonts w:ascii="Times New Roman" w:hAnsi="Times New Roman" w:cs="Times New Roman"/>
          <w:sz w:val="28"/>
          <w:szCs w:val="28"/>
        </w:rPr>
        <w:t>распределённостью</w:t>
      </w:r>
      <w:proofErr w:type="spellEnd"/>
      <w:r w:rsidRPr="00C3504E">
        <w:rPr>
          <w:rFonts w:ascii="Times New Roman" w:hAnsi="Times New Roman" w:cs="Times New Roman"/>
          <w:sz w:val="28"/>
          <w:szCs w:val="28"/>
        </w:rPr>
        <w:t xml:space="preserve"> времён релаксации, неоднородностью пористой структуры, конечными размерами частиц и наличием нескольких характерных межфазных процессов. Поэтому в инженерной практике встречаются схемы, где:</w:t>
      </w:r>
    </w:p>
    <w:p w14:paraId="0B3319A4" w14:textId="77777777" w:rsidR="00C3504E" w:rsidRPr="00A735FA" w:rsidRDefault="00C3504E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6171A9" w14:textId="10B9D14D" w:rsidR="00C3504E" w:rsidRPr="00A735FA" w:rsidRDefault="00C32BC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BC9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180" w:dyaOrig="360" w14:anchorId="10E781D6">
          <v:shape id="_x0000_i1036" type="#_x0000_t75" style="width:58.85pt;height:18.15pt" o:ole="">
            <v:imagedata r:id="rId35" o:title=""/>
          </v:shape>
          <o:OLEObject Type="Embed" ProgID="Equation.DSMT4" ShapeID="_x0000_i1036" DrawAspect="Content" ObjectID="_1835979207" r:id="rId36"/>
        </w:object>
      </w:r>
      <w:r w:rsidRPr="00A735FA">
        <w:rPr>
          <w:rFonts w:ascii="Times New Roman" w:hAnsi="Times New Roman" w:cs="Times New Roman"/>
          <w:sz w:val="28"/>
          <w:szCs w:val="28"/>
        </w:rPr>
        <w:t>,</w:t>
      </w:r>
    </w:p>
    <w:p w14:paraId="5BB9CDB2" w14:textId="5B14EBE6" w:rsidR="00C3504E" w:rsidRPr="00A735FA" w:rsidRDefault="00C32BC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BC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980" w:dyaOrig="380" w14:anchorId="7EB35DA0">
          <v:shape id="_x0000_i1037" type="#_x0000_t75" style="width:48.85pt;height:18.8pt" o:ole="">
            <v:imagedata r:id="rId37" o:title=""/>
          </v:shape>
          <o:OLEObject Type="Embed" ProgID="Equation.DSMT4" ShapeID="_x0000_i1037" DrawAspect="Content" ObjectID="_1835979208" r:id="rId38"/>
        </w:object>
      </w:r>
      <w:r w:rsidRPr="00A735FA">
        <w:rPr>
          <w:rFonts w:ascii="Times New Roman" w:hAnsi="Times New Roman" w:cs="Times New Roman"/>
          <w:sz w:val="28"/>
          <w:szCs w:val="28"/>
        </w:rPr>
        <w:t>,</w:t>
      </w:r>
    </w:p>
    <w:p w14:paraId="4E9653A5" w14:textId="36010C6B" w:rsidR="00C32BC9" w:rsidRPr="00A735FA" w:rsidRDefault="00C32BC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fd</w:t>
      </w:r>
      <w:proofErr w:type="spellEnd"/>
      <w:r w:rsidRPr="00A735FA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32BC9">
        <w:rPr>
          <w:rFonts w:ascii="Times New Roman" w:hAnsi="Times New Roman" w:cs="Times New Roman"/>
          <w:sz w:val="28"/>
          <w:szCs w:val="28"/>
        </w:rPr>
        <w:t>конечнодиффузионный</w:t>
      </w:r>
      <w:proofErr w:type="spellEnd"/>
      <w:r w:rsidRPr="00C32BC9">
        <w:rPr>
          <w:rFonts w:ascii="Times New Roman" w:hAnsi="Times New Roman" w:cs="Times New Roman"/>
          <w:sz w:val="28"/>
          <w:szCs w:val="28"/>
        </w:rPr>
        <w:t xml:space="preserve"> элемент</w:t>
      </w:r>
      <w:r w:rsidRPr="00A735FA">
        <w:rPr>
          <w:rFonts w:ascii="Times New Roman" w:hAnsi="Times New Roman" w:cs="Times New Roman"/>
          <w:sz w:val="28"/>
          <w:szCs w:val="28"/>
        </w:rPr>
        <w:t>.</w:t>
      </w:r>
    </w:p>
    <w:p w14:paraId="5DE968E9" w14:textId="49BC8427" w:rsidR="00C32BC9" w:rsidRPr="008808D8" w:rsidRDefault="00C32BC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BC9">
        <w:rPr>
          <w:rFonts w:ascii="Times New Roman" w:hAnsi="Times New Roman" w:cs="Times New Roman"/>
          <w:sz w:val="28"/>
          <w:szCs w:val="28"/>
        </w:rPr>
        <w:t xml:space="preserve">Использование CPE вместо идеальной ёмкости оправдано в тех случаях, когда полукруг Найквиста оказывается «сплюснутым», а фазовый отклик отклоняется от поведения идеального RC-элемента. Использование </w:t>
      </w:r>
      <w:proofErr w:type="spellStart"/>
      <w:r w:rsidRPr="00C32BC9">
        <w:rPr>
          <w:rFonts w:ascii="Times New Roman" w:hAnsi="Times New Roman" w:cs="Times New Roman"/>
          <w:sz w:val="28"/>
          <w:szCs w:val="28"/>
        </w:rPr>
        <w:t>конечнодиффузионного</w:t>
      </w:r>
      <w:proofErr w:type="spellEnd"/>
      <w:r w:rsidRPr="00C32BC9">
        <w:rPr>
          <w:rFonts w:ascii="Times New Roman" w:hAnsi="Times New Roman" w:cs="Times New Roman"/>
          <w:sz w:val="28"/>
          <w:szCs w:val="28"/>
        </w:rPr>
        <w:t xml:space="preserve"> элемента оправдано тогда, когда низкочастотная область перестаёт соответствовать полуограниченной диффузии. Современные </w:t>
      </w:r>
      <w:r w:rsidRPr="00C32BC9">
        <w:rPr>
          <w:rFonts w:ascii="Times New Roman" w:hAnsi="Times New Roman" w:cs="Times New Roman"/>
          <w:sz w:val="28"/>
          <w:szCs w:val="28"/>
        </w:rPr>
        <w:lastRenderedPageBreak/>
        <w:t xml:space="preserve">руководства по EIS подчёркивают, что выбор между базовой схемой </w:t>
      </w:r>
      <w:proofErr w:type="spellStart"/>
      <w:r w:rsidRPr="00C32BC9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C32BC9">
        <w:rPr>
          <w:rFonts w:ascii="Times New Roman" w:hAnsi="Times New Roman" w:cs="Times New Roman"/>
          <w:sz w:val="28"/>
          <w:szCs w:val="28"/>
        </w:rPr>
        <w:t xml:space="preserve"> и её расширениями должен определяться не желанием усложнить </w:t>
      </w:r>
      <w:proofErr w:type="spellStart"/>
      <w:r w:rsidRPr="00C32BC9">
        <w:rPr>
          <w:rFonts w:ascii="Times New Roman" w:hAnsi="Times New Roman" w:cs="Times New Roman"/>
          <w:sz w:val="28"/>
          <w:szCs w:val="28"/>
          <w:highlight w:val="yellow"/>
        </w:rPr>
        <w:t>fitting</w:t>
      </w:r>
      <w:proofErr w:type="spellEnd"/>
      <w:r w:rsidRPr="00C32BC9">
        <w:rPr>
          <w:rFonts w:ascii="Times New Roman" w:hAnsi="Times New Roman" w:cs="Times New Roman"/>
          <w:sz w:val="28"/>
          <w:szCs w:val="28"/>
        </w:rPr>
        <w:t xml:space="preserve">, а физической структурой наблюдаемого спектра. </w:t>
      </w:r>
      <w:r w:rsidR="0088180D" w:rsidRPr="0088180D">
        <w:rPr>
          <w:rFonts w:ascii="Times New Roman" w:hAnsi="Times New Roman" w:cs="Times New Roman"/>
          <w:sz w:val="28"/>
          <w:szCs w:val="28"/>
        </w:rPr>
        <w:t>((</w:t>
      </w:r>
      <w:hyperlink r:id="rId39" w:history="1">
        <w:r w:rsidR="0088180D" w:rsidRPr="004B0B91">
          <w:rPr>
            <w:rStyle w:val="ad"/>
            <w:rFonts w:ascii="Times New Roman" w:hAnsi="Times New Roman" w:cs="Times New Roman"/>
            <w:sz w:val="28"/>
            <w:szCs w:val="28"/>
          </w:rPr>
          <w:t>https://doi.org/10.1021/acsmeasuresciau.2c00070)</w:t>
        </w:r>
      </w:hyperlink>
      <w:r w:rsidR="0088180D" w:rsidRPr="0088180D">
        <w:rPr>
          <w:rFonts w:ascii="Times New Roman" w:hAnsi="Times New Roman" w:cs="Times New Roman"/>
          <w:sz w:val="28"/>
          <w:szCs w:val="28"/>
        </w:rPr>
        <w:t>).</w:t>
      </w:r>
    </w:p>
    <w:p w14:paraId="067F8701" w14:textId="46D27265" w:rsidR="0088180D" w:rsidRPr="00A735FA" w:rsidRDefault="008808D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D8">
        <w:rPr>
          <w:rFonts w:ascii="Times New Roman" w:hAnsi="Times New Roman" w:cs="Times New Roman"/>
          <w:sz w:val="28"/>
          <w:szCs w:val="28"/>
        </w:rPr>
        <w:t xml:space="preserve">В рамках настоящей диссертации базовая схема </w:t>
      </w:r>
      <w:proofErr w:type="spellStart"/>
      <w:r w:rsidRPr="008808D8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8808D8">
        <w:rPr>
          <w:rFonts w:ascii="Times New Roman" w:hAnsi="Times New Roman" w:cs="Times New Roman"/>
          <w:sz w:val="28"/>
          <w:szCs w:val="28"/>
        </w:rPr>
        <w:t xml:space="preserve"> используется как фундаментальное аналитическое ядро. Модифицированные схемы рассматриваются как последующие уточнения для описания конкретных химических систем и режимов. Это принципиально важно для соблюдения логики главы 2: сначала должна быть построена физически прозрачная аналитическая модель, и только затем — её расширения для неидеальных и нестационарных случаев.</w:t>
      </w:r>
    </w:p>
    <w:p w14:paraId="46DC4059" w14:textId="77777777" w:rsidR="008808D8" w:rsidRPr="00A735FA" w:rsidRDefault="008808D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C3394" w14:textId="7D61FA6D" w:rsidR="008808D8" w:rsidRPr="00A735FA" w:rsidRDefault="008808D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D8">
        <w:rPr>
          <w:rFonts w:ascii="Times New Roman" w:hAnsi="Times New Roman" w:cs="Times New Roman"/>
          <w:sz w:val="28"/>
          <w:szCs w:val="28"/>
        </w:rPr>
        <w:t>Таблица 2.1 – Физическая интерпретация элементов эквивалентной схемы замещения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6758B4" w14:paraId="263B7D02" w14:textId="77777777" w:rsidTr="006758B4">
        <w:tc>
          <w:tcPr>
            <w:tcW w:w="2406" w:type="dxa"/>
          </w:tcPr>
          <w:p w14:paraId="00E6EA35" w14:textId="0C82C178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Элемент модели</w:t>
            </w:r>
          </w:p>
        </w:tc>
        <w:tc>
          <w:tcPr>
            <w:tcW w:w="2407" w:type="dxa"/>
          </w:tcPr>
          <w:p w14:paraId="35B3A515" w14:textId="38E25135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Аналитическая форма</w:t>
            </w:r>
          </w:p>
        </w:tc>
        <w:tc>
          <w:tcPr>
            <w:tcW w:w="2407" w:type="dxa"/>
          </w:tcPr>
          <w:p w14:paraId="47D0E874" w14:textId="21AD1A1F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2407" w:type="dxa"/>
          </w:tcPr>
          <w:p w14:paraId="34727692" w14:textId="6D49AF30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Основная область спектра</w:t>
            </w:r>
          </w:p>
        </w:tc>
      </w:tr>
      <w:tr w:rsidR="006758B4" w:rsidRPr="006758B4" w14:paraId="5C22801C" w14:textId="77777777" w:rsidTr="006758B4">
        <w:tc>
          <w:tcPr>
            <w:tcW w:w="2406" w:type="dxa"/>
          </w:tcPr>
          <w:p w14:paraId="53377185" w14:textId="18FDD72E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Ω</w:t>
            </w:r>
          </w:p>
        </w:tc>
        <w:tc>
          <w:tcPr>
            <w:tcW w:w="2407" w:type="dxa"/>
          </w:tcPr>
          <w:p w14:paraId="110AD336" w14:textId="0F6CDF1E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Ω</w:t>
            </w:r>
          </w:p>
        </w:tc>
        <w:tc>
          <w:tcPr>
            <w:tcW w:w="2407" w:type="dxa"/>
          </w:tcPr>
          <w:p w14:paraId="67557490" w14:textId="2F1B2E23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Омические потери в токосъёмниках, электролите, контактах</w:t>
            </w:r>
          </w:p>
        </w:tc>
        <w:tc>
          <w:tcPr>
            <w:tcW w:w="2407" w:type="dxa"/>
          </w:tcPr>
          <w:p w14:paraId="5465B01F" w14:textId="7A3E1D2E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Высокие частоты</w:t>
            </w:r>
          </w:p>
        </w:tc>
      </w:tr>
      <w:tr w:rsidR="006758B4" w14:paraId="432D3BD6" w14:textId="77777777" w:rsidTr="006758B4">
        <w:tc>
          <w:tcPr>
            <w:tcW w:w="2406" w:type="dxa"/>
          </w:tcPr>
          <w:p w14:paraId="32998CC3" w14:textId="0DD04F7A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ct</w:t>
            </w:r>
            <w:proofErr w:type="spellEnd"/>
          </w:p>
        </w:tc>
        <w:tc>
          <w:tcPr>
            <w:tcW w:w="2407" w:type="dxa"/>
          </w:tcPr>
          <w:p w14:paraId="47B9DF78" w14:textId="28A76923" w:rsidR="006758B4" w:rsidRPr="006620DD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В составе</w:t>
            </w:r>
            <w:r w:rsidR="00662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620DD" w:rsidRPr="006620DD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1240" w:dyaOrig="680" w14:anchorId="4A0C116A">
                <v:shape id="_x0000_i1038" type="#_x0000_t75" style="width:62pt;height:33.8pt" o:ole="">
                  <v:imagedata r:id="rId40" o:title=""/>
                </v:shape>
                <o:OLEObject Type="Embed" ProgID="Equation.DSMT4" ShapeID="_x0000_i1038" DrawAspect="Content" ObjectID="_1835979209" r:id="rId41"/>
              </w:object>
            </w:r>
          </w:p>
        </w:tc>
        <w:tc>
          <w:tcPr>
            <w:tcW w:w="2407" w:type="dxa"/>
          </w:tcPr>
          <w:p w14:paraId="40BED523" w14:textId="443D1368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Межфазное сопротивление переноса заряда</w:t>
            </w:r>
          </w:p>
        </w:tc>
        <w:tc>
          <w:tcPr>
            <w:tcW w:w="2407" w:type="dxa"/>
          </w:tcPr>
          <w:p w14:paraId="740371AF" w14:textId="5AD0263F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Средние частоты</w:t>
            </w:r>
          </w:p>
        </w:tc>
      </w:tr>
      <w:tr w:rsidR="006758B4" w14:paraId="2CD14E44" w14:textId="77777777" w:rsidTr="006758B4">
        <w:tc>
          <w:tcPr>
            <w:tcW w:w="2406" w:type="dxa"/>
          </w:tcPr>
          <w:p w14:paraId="395D64EC" w14:textId="667E975E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</w:t>
            </w: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dl</w:t>
            </w:r>
            <w:proofErr w:type="spellEnd"/>
          </w:p>
        </w:tc>
        <w:tc>
          <w:tcPr>
            <w:tcW w:w="2407" w:type="dxa"/>
          </w:tcPr>
          <w:p w14:paraId="4EF585F4" w14:textId="0F1C7FEF" w:rsidR="006758B4" w:rsidRPr="006620DD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В составе</w:t>
            </w:r>
            <w:r w:rsidR="006620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620DD" w:rsidRPr="006620DD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700" w:dyaOrig="680" w14:anchorId="3CC50FAC">
                <v:shape id="_x0000_i1039" type="#_x0000_t75" style="width:35.05pt;height:33.8pt" o:ole="">
                  <v:imagedata r:id="rId42" o:title=""/>
                </v:shape>
                <o:OLEObject Type="Embed" ProgID="Equation.DSMT4" ShapeID="_x0000_i1039" DrawAspect="Content" ObjectID="_1835979210" r:id="rId43"/>
              </w:object>
            </w:r>
          </w:p>
        </w:tc>
        <w:tc>
          <w:tcPr>
            <w:tcW w:w="2407" w:type="dxa"/>
          </w:tcPr>
          <w:p w14:paraId="3C20C1C6" w14:textId="35409FC8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Ёмкость двойного электрического слоя</w:t>
            </w:r>
          </w:p>
        </w:tc>
        <w:tc>
          <w:tcPr>
            <w:tcW w:w="2407" w:type="dxa"/>
          </w:tcPr>
          <w:p w14:paraId="4FB6A47E" w14:textId="66181326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Средние частоты</w:t>
            </w:r>
          </w:p>
        </w:tc>
      </w:tr>
      <w:tr w:rsidR="006758B4" w14:paraId="6265AB13" w14:textId="77777777" w:rsidTr="006758B4">
        <w:tc>
          <w:tcPr>
            <w:tcW w:w="2406" w:type="dxa"/>
          </w:tcPr>
          <w:p w14:paraId="74B44E08" w14:textId="71114379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Z</w:t>
            </w: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W</w:t>
            </w:r>
          </w:p>
        </w:tc>
        <w:tc>
          <w:tcPr>
            <w:tcW w:w="2407" w:type="dxa"/>
          </w:tcPr>
          <w:p w14:paraId="4422861D" w14:textId="4C37722A" w:rsidR="006758B4" w:rsidRDefault="006620DD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0DD">
              <w:rPr>
                <w:rFonts w:ascii="Times New Roman" w:hAnsi="Times New Roman" w:cs="Times New Roman"/>
                <w:position w:val="-32"/>
                <w:sz w:val="28"/>
                <w:szCs w:val="28"/>
                <w:lang w:val="en-US"/>
              </w:rPr>
              <w:object w:dxaOrig="580" w:dyaOrig="700" w14:anchorId="2805A596">
                <v:shape id="_x0000_i1040" type="#_x0000_t75" style="width:29.45pt;height:35.05pt" o:ole="">
                  <v:imagedata r:id="rId44" o:title=""/>
                </v:shape>
                <o:OLEObject Type="Embed" ProgID="Equation.DSMT4" ShapeID="_x0000_i1040" DrawAspect="Content" ObjectID="_1835979211" r:id="rId45"/>
              </w:object>
            </w:r>
          </w:p>
        </w:tc>
        <w:tc>
          <w:tcPr>
            <w:tcW w:w="2407" w:type="dxa"/>
          </w:tcPr>
          <w:p w14:paraId="7B7FCE17" w14:textId="36CE9A71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Диффузионные ограничения массопереноса</w:t>
            </w:r>
          </w:p>
        </w:tc>
        <w:tc>
          <w:tcPr>
            <w:tcW w:w="2407" w:type="dxa"/>
          </w:tcPr>
          <w:p w14:paraId="7112341A" w14:textId="35FBFB6C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Низкие частоты</w:t>
            </w:r>
          </w:p>
        </w:tc>
      </w:tr>
      <w:tr w:rsidR="006758B4" w:rsidRPr="006758B4" w14:paraId="6AB49528" w14:textId="77777777" w:rsidTr="006758B4">
        <w:tc>
          <w:tcPr>
            <w:tcW w:w="2406" w:type="dxa"/>
          </w:tcPr>
          <w:p w14:paraId="7160EBD0" w14:textId="4CF66FC0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CPE</w:t>
            </w:r>
          </w:p>
        </w:tc>
        <w:tc>
          <w:tcPr>
            <w:tcW w:w="2407" w:type="dxa"/>
          </w:tcPr>
          <w:p w14:paraId="2E438AB1" w14:textId="757F704A" w:rsidR="006758B4" w:rsidRDefault="006620DD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0DD">
              <w:rPr>
                <w:rFonts w:ascii="Times New Roman" w:hAnsi="Times New Roman" w:cs="Times New Roman"/>
                <w:position w:val="-36"/>
                <w:sz w:val="28"/>
                <w:szCs w:val="28"/>
                <w:lang w:val="en-US"/>
              </w:rPr>
              <w:object w:dxaOrig="880" w:dyaOrig="740" w14:anchorId="3FE79B06">
                <v:shape id="_x0000_i1041" type="#_x0000_t75" style="width:43.85pt;height:36.95pt" o:ole="">
                  <v:imagedata r:id="rId46" o:title=""/>
                </v:shape>
                <o:OLEObject Type="Embed" ProgID="Equation.DSMT4" ShapeID="_x0000_i1041" DrawAspect="Content" ObjectID="_1835979212" r:id="rId47"/>
              </w:object>
            </w:r>
          </w:p>
        </w:tc>
        <w:tc>
          <w:tcPr>
            <w:tcW w:w="2407" w:type="dxa"/>
          </w:tcPr>
          <w:p w14:paraId="702C7327" w14:textId="51CE1B64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Неидеальный интерфейс, распределение времён релаксации</w:t>
            </w:r>
          </w:p>
        </w:tc>
        <w:tc>
          <w:tcPr>
            <w:tcW w:w="2407" w:type="dxa"/>
          </w:tcPr>
          <w:p w14:paraId="744A8A9D" w14:textId="76FDF13E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Средние частоты</w:t>
            </w:r>
          </w:p>
        </w:tc>
      </w:tr>
      <w:tr w:rsidR="006758B4" w:rsidRPr="006758B4" w14:paraId="0A990436" w14:textId="77777777" w:rsidTr="006758B4">
        <w:tc>
          <w:tcPr>
            <w:tcW w:w="2406" w:type="dxa"/>
          </w:tcPr>
          <w:p w14:paraId="328F5D5B" w14:textId="6C0341FC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Z</w:t>
            </w:r>
            <w:r w:rsidRPr="006758B4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fd</w:t>
            </w:r>
            <w:proofErr w:type="spellEnd"/>
          </w:p>
        </w:tc>
        <w:tc>
          <w:tcPr>
            <w:tcW w:w="2407" w:type="dxa"/>
          </w:tcPr>
          <w:p w14:paraId="40FD3E2E" w14:textId="4468BC4D" w:rsid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Зависит от выбранной модели</w:t>
            </w:r>
          </w:p>
        </w:tc>
        <w:tc>
          <w:tcPr>
            <w:tcW w:w="2407" w:type="dxa"/>
          </w:tcPr>
          <w:p w14:paraId="4E47478C" w14:textId="440A1C02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Конечная диффузия в частицах или слое</w:t>
            </w:r>
          </w:p>
        </w:tc>
        <w:tc>
          <w:tcPr>
            <w:tcW w:w="2407" w:type="dxa"/>
          </w:tcPr>
          <w:p w14:paraId="1F90A1B9" w14:textId="2AF9992F" w:rsidR="006758B4" w:rsidRPr="006758B4" w:rsidRDefault="006758B4" w:rsidP="00DC3B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58B4">
              <w:rPr>
                <w:rFonts w:ascii="Times New Roman" w:hAnsi="Times New Roman" w:cs="Times New Roman"/>
                <w:sz w:val="28"/>
                <w:szCs w:val="28"/>
              </w:rPr>
              <w:t>Низкие частоты</w:t>
            </w:r>
          </w:p>
        </w:tc>
      </w:tr>
    </w:tbl>
    <w:p w14:paraId="4EC0C653" w14:textId="77777777" w:rsidR="008808D8" w:rsidRDefault="008808D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6422A4" w14:textId="2FD60F33" w:rsidR="001F2F9C" w:rsidRPr="001F2F9C" w:rsidRDefault="001F2F9C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2F9C">
        <w:rPr>
          <w:rFonts w:ascii="Times New Roman" w:hAnsi="Times New Roman" w:cs="Times New Roman"/>
          <w:b/>
          <w:bCs/>
          <w:sz w:val="28"/>
          <w:szCs w:val="28"/>
        </w:rPr>
        <w:t>Вывод по разделу 2.2</w:t>
      </w:r>
    </w:p>
    <w:p w14:paraId="3E700C9B" w14:textId="77777777" w:rsidR="001F2F9C" w:rsidRDefault="001F2F9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F8281A" w14:textId="76A99CFD" w:rsidR="001F2F9C" w:rsidRPr="00A735FA" w:rsidRDefault="001F2F9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F9C">
        <w:rPr>
          <w:rFonts w:ascii="Times New Roman" w:hAnsi="Times New Roman" w:cs="Times New Roman"/>
          <w:sz w:val="28"/>
          <w:szCs w:val="28"/>
        </w:rPr>
        <w:t xml:space="preserve">В разделе 2.2 выполнен переход от распределённого физико-математического описания аккумуляторной системы к эквивалентным схемам замещения и аналитической форме комплексного импеданса. Показано, что базовая схема </w:t>
      </w:r>
      <w:proofErr w:type="spellStart"/>
      <w:r w:rsidRPr="001F2F9C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1F2F9C">
        <w:rPr>
          <w:rFonts w:ascii="Times New Roman" w:hAnsi="Times New Roman" w:cs="Times New Roman"/>
          <w:sz w:val="28"/>
          <w:szCs w:val="28"/>
        </w:rPr>
        <w:t xml:space="preserve"> является минимальной физически осмысленной структурой, связывающей омическую проводимость, межфазную кинетику, ёмкостный отклик интерфейса и диффузионные ограничения. Получено итоговое аналитическое выражение</w:t>
      </w:r>
    </w:p>
    <w:p w14:paraId="201037BD" w14:textId="77777777" w:rsidR="001F2F9C" w:rsidRPr="00A735FA" w:rsidRDefault="001F2F9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4CF534" w14:textId="25261875" w:rsidR="001F2F9C" w:rsidRPr="00A735FA" w:rsidRDefault="00EA0500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500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3240" w:dyaOrig="700" w14:anchorId="4A9490DD">
          <v:shape id="_x0000_i1042" type="#_x0000_t75" style="width:162.15pt;height:35.05pt" o:ole="">
            <v:imagedata r:id="rId48" o:title=""/>
          </v:shape>
          <o:OLEObject Type="Embed" ProgID="Equation.DSMT4" ShapeID="_x0000_i1042" DrawAspect="Content" ObjectID="_1835979213" r:id="rId49"/>
        </w:object>
      </w:r>
      <w:r w:rsidRPr="00A735FA">
        <w:rPr>
          <w:rFonts w:ascii="Times New Roman" w:hAnsi="Times New Roman" w:cs="Times New Roman"/>
          <w:sz w:val="28"/>
          <w:szCs w:val="28"/>
        </w:rPr>
        <w:t>,</w:t>
      </w:r>
    </w:p>
    <w:p w14:paraId="19BB2F34" w14:textId="77777777" w:rsidR="001F2F9C" w:rsidRPr="00A735FA" w:rsidRDefault="001F2F9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FA6308" w14:textId="329DE712" w:rsidR="00EA0500" w:rsidRDefault="00EA0500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0500">
        <w:rPr>
          <w:rFonts w:ascii="Times New Roman" w:hAnsi="Times New Roman" w:cs="Times New Roman"/>
          <w:sz w:val="28"/>
          <w:szCs w:val="28"/>
        </w:rPr>
        <w:t xml:space="preserve">которое далее будет положено в основу зависимости </w:t>
      </w:r>
      <w:r w:rsidRPr="00EA0500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EA0500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EA050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EA050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EA0500">
        <w:rPr>
          <w:rFonts w:ascii="Times New Roman" w:hAnsi="Times New Roman" w:cs="Times New Roman"/>
          <w:i/>
          <w:iCs/>
          <w:sz w:val="28"/>
          <w:szCs w:val="28"/>
        </w:rPr>
        <w:t>ω,</w:t>
      </w:r>
      <w:r w:rsidRPr="00EA050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proofErr w:type="gramEnd"/>
      <w:r w:rsidRPr="00EA0500">
        <w:rPr>
          <w:rFonts w:ascii="Times New Roman" w:hAnsi="Times New Roman" w:cs="Times New Roman"/>
          <w:i/>
          <w:iCs/>
          <w:sz w:val="28"/>
          <w:szCs w:val="28"/>
        </w:rPr>
        <w:t>,</w:t>
      </w:r>
      <w:proofErr w:type="gramStart"/>
      <w:r w:rsidRPr="00EA0500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EA050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EA0500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proofErr w:type="gramEnd"/>
      <w:r w:rsidRPr="00EA050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A64A54" w:rsidRPr="00A64A54">
        <w:rPr>
          <w:rFonts w:ascii="Times New Roman" w:hAnsi="Times New Roman" w:cs="Times New Roman"/>
          <w:sz w:val="28"/>
          <w:szCs w:val="28"/>
        </w:rPr>
        <w:t xml:space="preserve">. Тем самым создано математическое ядро для следующего раздела, где комплексный </w:t>
      </w:r>
      <w:r w:rsidR="00A64A54" w:rsidRPr="00A64A54">
        <w:rPr>
          <w:rFonts w:ascii="Times New Roman" w:hAnsi="Times New Roman" w:cs="Times New Roman"/>
          <w:sz w:val="28"/>
          <w:szCs w:val="28"/>
        </w:rPr>
        <w:lastRenderedPageBreak/>
        <w:t>импеданс будет формализован как функция частоты, температуры, состояния заряда и деградации</w:t>
      </w:r>
      <w:r w:rsidR="00A64A54" w:rsidRPr="00A735FA">
        <w:rPr>
          <w:rFonts w:ascii="Times New Roman" w:hAnsi="Times New Roman" w:cs="Times New Roman"/>
          <w:sz w:val="28"/>
          <w:szCs w:val="28"/>
        </w:rPr>
        <w:t>.</w:t>
      </w:r>
    </w:p>
    <w:p w14:paraId="5B59C210" w14:textId="77777777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0FE70E" w14:textId="4EEA5157" w:rsidR="007B0D79" w:rsidRP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D79">
        <w:rPr>
          <w:rFonts w:ascii="Times New Roman" w:hAnsi="Times New Roman" w:cs="Times New Roman"/>
          <w:b/>
          <w:bCs/>
          <w:sz w:val="28"/>
          <w:szCs w:val="28"/>
        </w:rPr>
        <w:t>2.3 Представление комплексного импеданса в виде</w:t>
      </w:r>
      <w:r w:rsidRPr="007B0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Z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Start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ω,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</w:t>
      </w:r>
      <w:proofErr w:type="gramEnd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proofErr w:type="gramStart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SOC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proofErr w:type="gramEnd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568478F9" w14:textId="77777777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4B9398" w14:textId="3393E03B" w:rsidR="007B0D79" w:rsidRP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D79">
        <w:rPr>
          <w:rFonts w:ascii="Times New Roman" w:hAnsi="Times New Roman" w:cs="Times New Roman"/>
          <w:sz w:val="28"/>
          <w:szCs w:val="28"/>
        </w:rPr>
        <w:t>После получения базовой аналитической формы импеданса в разделе 2.2 следующим шагом является её обобщение до параметрического представления, пригодного для описания реальной тяговой аккумуляторной батареи в эксплуатационных условиях. Для лабораторной EIS-постановки импеданс можно записать как функцию только частоты,</w:t>
      </w:r>
    </w:p>
    <w:p w14:paraId="1345534E" w14:textId="77777777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0042A2" w14:textId="4B8639D4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0D7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020" w:dyaOrig="400" w14:anchorId="0F6679C4">
          <v:shape id="_x0000_i1049" type="#_x0000_t75" style="width:50.7pt;height:20.05pt" o:ole="">
            <v:imagedata r:id="rId50" o:title=""/>
          </v:shape>
          <o:OLEObject Type="Embed" ProgID="Equation.DSMT4" ShapeID="_x0000_i1049" DrawAspect="Content" ObjectID="_1835979214" r:id="rId51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BBF9AD" w14:textId="77777777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820560" w14:textId="32B9D66C" w:rsidR="007B0D79" w:rsidRDefault="007B0D79" w:rsidP="007B0D7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0D79">
        <w:rPr>
          <w:rFonts w:ascii="Times New Roman" w:hAnsi="Times New Roman" w:cs="Times New Roman"/>
          <w:sz w:val="28"/>
          <w:szCs w:val="28"/>
        </w:rPr>
        <w:t>однако для тяговых батарей такое описание принципиально недостаточно. В действительности спектральный отклик определяется не только частотой, но и температурой, текущим состоянием заряда, а также накопленной деградацией. Поэтому в диссертации принимается расширенная функциональная форма</w:t>
      </w:r>
    </w:p>
    <w:p w14:paraId="1A47BA2F" w14:textId="77777777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022AE8" w14:textId="7D2FF5BF" w:rsidR="007B0D79" w:rsidRDefault="007C1A6F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6F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100" w:dyaOrig="400" w14:anchorId="2555EC20">
          <v:shape id="_x0000_i1052" type="#_x0000_t75" style="width:105.2pt;height:20.05pt" o:ole="">
            <v:imagedata r:id="rId52" o:title=""/>
          </v:shape>
          <o:OLEObject Type="Embed" ProgID="Equation.DSMT4" ShapeID="_x0000_i1052" DrawAspect="Content" ObjectID="_1835979215" r:id="rId53"/>
        </w:object>
      </w:r>
    </w:p>
    <w:p w14:paraId="07B83745" w14:textId="77777777" w:rsidR="007B0D79" w:rsidRDefault="007B0D79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55BAD" w14:textId="4B7E0397" w:rsidR="007C1A6F" w:rsidRDefault="007C1A6F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6F">
        <w:rPr>
          <w:rFonts w:ascii="Times New Roman" w:hAnsi="Times New Roman" w:cs="Times New Roman"/>
          <w:sz w:val="28"/>
          <w:szCs w:val="28"/>
        </w:rPr>
        <w:t xml:space="preserve">Именно эта запись является одной из ключевых теоретических конструкций всей работы, поскольку она обеспечивает переход от классической лабораторной спектроскопии к </w:t>
      </w:r>
      <w:proofErr w:type="spellStart"/>
      <w:r w:rsidRPr="007C1A6F">
        <w:rPr>
          <w:rFonts w:ascii="Times New Roman" w:hAnsi="Times New Roman" w:cs="Times New Roman"/>
          <w:sz w:val="28"/>
          <w:szCs w:val="28"/>
        </w:rPr>
        <w:t>инженерно</w:t>
      </w:r>
      <w:proofErr w:type="spellEnd"/>
      <w:r w:rsidRPr="007C1A6F">
        <w:rPr>
          <w:rFonts w:ascii="Times New Roman" w:hAnsi="Times New Roman" w:cs="Times New Roman"/>
          <w:sz w:val="28"/>
          <w:szCs w:val="28"/>
        </w:rPr>
        <w:t xml:space="preserve"> ориентированной модели для диагностики и прогноза ресурса в нестационарных режимах эксплуатации. Современные работы по EIS-диагностике и оценке состояния батарей прямо указывают, что параметры спектра существенно зависят от температуры и </w:t>
      </w:r>
      <w:r w:rsidRPr="007C1A6F">
        <w:rPr>
          <w:rFonts w:ascii="Times New Roman" w:hAnsi="Times New Roman" w:cs="Times New Roman"/>
          <w:sz w:val="28"/>
          <w:szCs w:val="28"/>
        </w:rPr>
        <w:lastRenderedPageBreak/>
        <w:t xml:space="preserve">состояния заряда, а при старении формируют устойчивые </w:t>
      </w:r>
      <w:proofErr w:type="spellStart"/>
      <w:r w:rsidRPr="007C1A6F">
        <w:rPr>
          <w:rFonts w:ascii="Times New Roman" w:hAnsi="Times New Roman" w:cs="Times New Roman"/>
          <w:sz w:val="28"/>
          <w:szCs w:val="28"/>
        </w:rPr>
        <w:t>деградационные</w:t>
      </w:r>
      <w:proofErr w:type="spellEnd"/>
      <w:r w:rsidRPr="007C1A6F">
        <w:rPr>
          <w:rFonts w:ascii="Times New Roman" w:hAnsi="Times New Roman" w:cs="Times New Roman"/>
          <w:sz w:val="28"/>
          <w:szCs w:val="28"/>
        </w:rPr>
        <w:t xml:space="preserve"> </w:t>
      </w:r>
      <w:r w:rsidRPr="007C1A6F">
        <w:rPr>
          <w:rFonts w:ascii="Times New Roman" w:hAnsi="Times New Roman" w:cs="Times New Roman"/>
          <w:sz w:val="28"/>
          <w:szCs w:val="28"/>
        </w:rPr>
        <w:t>траектории</w:t>
      </w:r>
      <w:r w:rsidRPr="007C1A6F">
        <w:rPr>
          <w:rFonts w:ascii="Times New Roman" w:hAnsi="Times New Roman" w:cs="Times New Roman"/>
          <w:sz w:val="28"/>
          <w:szCs w:val="28"/>
        </w:rPr>
        <w:t xml:space="preserve">. </w:t>
      </w:r>
      <w:r w:rsidRPr="007C1A6F">
        <w:rPr>
          <w:rFonts w:ascii="Times New Roman" w:hAnsi="Times New Roman" w:cs="Times New Roman"/>
          <w:sz w:val="28"/>
          <w:szCs w:val="28"/>
          <w:lang w:val="en-US"/>
        </w:rPr>
        <w:t>((https://doi.org/10.1016/j.est.2022.104608), (https://doi.org/10.1002/ente.201600154</w:t>
      </w:r>
      <w:r w:rsidRPr="007C1A6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C1A6F">
        <w:rPr>
          <w:rFonts w:ascii="Times New Roman" w:hAnsi="Times New Roman" w:cs="Times New Roman"/>
          <w:sz w:val="28"/>
          <w:szCs w:val="28"/>
          <w:lang w:val="en-US"/>
        </w:rPr>
        <w:t>, (</w:t>
      </w:r>
      <w:hyperlink r:id="rId54" w:history="1">
        <w:r w:rsidRPr="00A54F84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https://doi.org/10.1155/2024/9657360</w:t>
        </w:r>
      </w:hyperlink>
      <w:r w:rsidRPr="007C1A6F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7C1A6F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1A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C1A6F">
        <w:rPr>
          <w:rFonts w:ascii="Times New Roman" w:hAnsi="Times New Roman" w:cs="Times New Roman"/>
          <w:sz w:val="28"/>
          <w:szCs w:val="28"/>
          <w:lang w:val="en-US"/>
        </w:rPr>
        <w:t>(sciencedirect.com)</w:t>
      </w:r>
    </w:p>
    <w:p w14:paraId="49114B86" w14:textId="77777777" w:rsidR="007C1A6F" w:rsidRDefault="007C1A6F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30AFD9" w14:textId="17CC7B0A" w:rsidR="0046243E" w:rsidRPr="0046243E" w:rsidRDefault="0046243E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43E">
        <w:rPr>
          <w:rFonts w:ascii="Times New Roman" w:hAnsi="Times New Roman" w:cs="Times New Roman"/>
          <w:sz w:val="28"/>
          <w:szCs w:val="28"/>
        </w:rPr>
        <w:t>2.3.1. Необходимость расширенного представления</w:t>
      </w:r>
      <w:r w:rsidRPr="0046243E">
        <w:rPr>
          <w:rFonts w:ascii="Times New Roman" w:hAnsi="Times New Roman" w:cs="Times New Roman"/>
          <w:sz w:val="28"/>
          <w:szCs w:val="28"/>
        </w:rPr>
        <w:t xml:space="preserve"> 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Z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Start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ω,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</w:t>
      </w:r>
      <w:proofErr w:type="gramEnd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proofErr w:type="gramStart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SOC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</w:t>
      </w:r>
      <w:proofErr w:type="gramEnd"/>
      <w:r w:rsidRPr="007B0D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117E4221" w14:textId="77777777" w:rsidR="0046243E" w:rsidRDefault="0046243E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4C2524" w14:textId="45878898" w:rsidR="0046243E" w:rsidRDefault="00123AF5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AF5">
        <w:rPr>
          <w:rFonts w:ascii="Times New Roman" w:hAnsi="Times New Roman" w:cs="Times New Roman"/>
          <w:sz w:val="28"/>
          <w:szCs w:val="28"/>
        </w:rPr>
        <w:t xml:space="preserve">Классическое частотное представление импеданса корректно только при фиксированной </w:t>
      </w:r>
      <w:r w:rsidRPr="00123AF5">
        <w:rPr>
          <w:rFonts w:ascii="Times New Roman" w:hAnsi="Times New Roman" w:cs="Times New Roman"/>
          <w:sz w:val="28"/>
          <w:szCs w:val="28"/>
          <w:highlight w:val="yellow"/>
        </w:rPr>
        <w:t>рабочей точке</w:t>
      </w:r>
      <w:r w:rsidRPr="00123AF5">
        <w:rPr>
          <w:rFonts w:ascii="Times New Roman" w:hAnsi="Times New Roman" w:cs="Times New Roman"/>
          <w:sz w:val="28"/>
          <w:szCs w:val="28"/>
        </w:rPr>
        <w:t>, то есть при постоянных температуре, составе, состоянии заряда и отсутствии существенного дрейфа параметров во времени. Для тяговой батареи эти условия в общем случае не выполняются. Во время эксплуатации батарея проходит через режимы ускорения, торможения, рекуперации, частичных циклов и температурных колебаний. В результате каждая из составляющих модели</w:t>
      </w:r>
      <w:r w:rsidRPr="00123A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Ω</w:t>
      </w:r>
      <w:r w:rsidRPr="00123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ct</w:t>
      </w:r>
      <w:proofErr w:type="spellEnd"/>
      <w:r w:rsidRPr="00123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dl</w:t>
      </w:r>
      <w:proofErr w:type="spellEnd"/>
      <w:r w:rsidRPr="00123AF5">
        <w:rPr>
          <w:rFonts w:ascii="Times New Roman" w:hAnsi="Times New Roman" w:cs="Times New Roman"/>
          <w:sz w:val="28"/>
          <w:szCs w:val="28"/>
        </w:rPr>
        <w:t xml:space="preserve">, </w:t>
      </w:r>
      <w:r w:rsidRPr="00123AF5">
        <w:rPr>
          <w:rFonts w:ascii="Times New Roman" w:hAnsi="Times New Roman" w:cs="Times New Roman"/>
          <w:i/>
          <w:sz w:val="28"/>
          <w:szCs w:val="28"/>
          <w:lang w:val="en-US"/>
        </w:rPr>
        <w:t>σ</w:t>
      </w:r>
      <w:r w:rsidRPr="00123A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23AF5">
        <w:rPr>
          <w:rFonts w:ascii="Times New Roman" w:hAnsi="Times New Roman" w:cs="Times New Roman"/>
          <w:sz w:val="28"/>
          <w:szCs w:val="28"/>
        </w:rPr>
        <w:t xml:space="preserve"> </w:t>
      </w:r>
      <w:r w:rsidRPr="00123AF5">
        <w:rPr>
          <w:rFonts w:ascii="Times New Roman" w:hAnsi="Times New Roman" w:cs="Times New Roman"/>
          <w:sz w:val="28"/>
          <w:szCs w:val="28"/>
        </w:rPr>
        <w:t>оказывается не константой, а</w:t>
      </w:r>
      <w:r w:rsidRPr="00123AF5">
        <w:rPr>
          <w:rFonts w:ascii="Times New Roman" w:hAnsi="Times New Roman" w:cs="Times New Roman"/>
          <w:sz w:val="28"/>
          <w:szCs w:val="28"/>
        </w:rPr>
        <w:t xml:space="preserve"> </w:t>
      </w:r>
      <w:r w:rsidRPr="00123AF5">
        <w:rPr>
          <w:rFonts w:ascii="Times New Roman" w:hAnsi="Times New Roman" w:cs="Times New Roman"/>
          <w:sz w:val="28"/>
          <w:szCs w:val="28"/>
        </w:rPr>
        <w:t>функцией состояния системы.</w:t>
      </w:r>
    </w:p>
    <w:p w14:paraId="6FAD8011" w14:textId="535EAA57" w:rsidR="00123AF5" w:rsidRDefault="00123AF5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AF5">
        <w:rPr>
          <w:rFonts w:ascii="Times New Roman" w:hAnsi="Times New Roman" w:cs="Times New Roman"/>
          <w:sz w:val="28"/>
          <w:szCs w:val="28"/>
        </w:rPr>
        <w:t>Физически это означает следующее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DB77C0" w14:textId="646E2A3B" w:rsidR="00123AF5" w:rsidRDefault="00123AF5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AF5">
        <w:rPr>
          <w:rFonts w:ascii="Times New Roman" w:hAnsi="Times New Roman" w:cs="Times New Roman"/>
          <w:sz w:val="28"/>
          <w:szCs w:val="28"/>
        </w:rPr>
        <w:t>Во-первых, температура влияет на скорость электрохимических реакций, коэффициент диффузии, проводимость электролита и, следовательно, на весь спектр импеданса.</w:t>
      </w:r>
    </w:p>
    <w:p w14:paraId="5436D9C6" w14:textId="3E878603" w:rsidR="00123AF5" w:rsidRDefault="00123AF5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AF5">
        <w:rPr>
          <w:rFonts w:ascii="Times New Roman" w:hAnsi="Times New Roman" w:cs="Times New Roman"/>
          <w:sz w:val="28"/>
          <w:szCs w:val="28"/>
        </w:rPr>
        <w:t>Во-вторых, состояние заряда определяет рабочую точку электрода, равновесный потенциал, локальные концентрации лития или натрия и текущую величину обменного тока.</w:t>
      </w:r>
    </w:p>
    <w:p w14:paraId="2280C697" w14:textId="4C7025EA" w:rsidR="00123AF5" w:rsidRDefault="000009D4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9D4">
        <w:rPr>
          <w:rFonts w:ascii="Times New Roman" w:hAnsi="Times New Roman" w:cs="Times New Roman"/>
          <w:sz w:val="28"/>
          <w:szCs w:val="28"/>
        </w:rPr>
        <w:t>В-третьих, деградация изменяет эффективную площадь интерфейса, толщину межфазного слоя, диффузионные характеристики и омические потери.</w:t>
      </w:r>
    </w:p>
    <w:p w14:paraId="64DFBFF5" w14:textId="6DB8AC79" w:rsidR="000009D4" w:rsidRDefault="000009D4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9D4">
        <w:rPr>
          <w:rFonts w:ascii="Times New Roman" w:hAnsi="Times New Roman" w:cs="Times New Roman"/>
          <w:sz w:val="28"/>
          <w:szCs w:val="28"/>
        </w:rPr>
        <w:t>Следовательно, запись</w:t>
      </w:r>
    </w:p>
    <w:p w14:paraId="26C3BED9" w14:textId="77777777" w:rsidR="000009D4" w:rsidRDefault="000009D4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F0DEA6" w14:textId="15916A3E" w:rsidR="000009D4" w:rsidRDefault="000009D4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9D4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100" w:dyaOrig="400" w14:anchorId="7292182B">
          <v:shape id="_x0000_i1055" type="#_x0000_t75" style="width:105.2pt;height:20.05pt" o:ole="">
            <v:imagedata r:id="rId55" o:title=""/>
          </v:shape>
          <o:OLEObject Type="Embed" ProgID="Equation.DSMT4" ShapeID="_x0000_i1055" DrawAspect="Content" ObjectID="_1835979216" r:id="rId56"/>
        </w:object>
      </w:r>
    </w:p>
    <w:p w14:paraId="3769C5F7" w14:textId="77777777" w:rsidR="000009D4" w:rsidRDefault="000009D4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D5EA0B" w14:textId="33DC482D" w:rsidR="000009D4" w:rsidRDefault="000009D4" w:rsidP="000009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9D4">
        <w:rPr>
          <w:rFonts w:ascii="Times New Roman" w:hAnsi="Times New Roman" w:cs="Times New Roman"/>
          <w:sz w:val="28"/>
          <w:szCs w:val="28"/>
        </w:rPr>
        <w:t>не является формальным усложнением. Она отражает реальную многопараметрическую природу электрохимической системы.</w:t>
      </w:r>
    </w:p>
    <w:p w14:paraId="05066EDD" w14:textId="77777777" w:rsidR="000009D4" w:rsidRDefault="000009D4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2704AE" w14:textId="3962E469" w:rsidR="00144A2C" w:rsidRP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4A2C">
        <w:rPr>
          <w:rFonts w:ascii="Times New Roman" w:hAnsi="Times New Roman" w:cs="Times New Roman"/>
          <w:b/>
          <w:bCs/>
          <w:sz w:val="28"/>
          <w:szCs w:val="28"/>
        </w:rPr>
        <w:t>2.3.2 Разделение переменных и параметрическая структура модели</w:t>
      </w:r>
    </w:p>
    <w:p w14:paraId="7407E9AC" w14:textId="77777777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91AFDF" w14:textId="6E2EDC78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A2C">
        <w:rPr>
          <w:rFonts w:ascii="Times New Roman" w:hAnsi="Times New Roman" w:cs="Times New Roman"/>
          <w:sz w:val="28"/>
          <w:szCs w:val="28"/>
        </w:rPr>
        <w:t>Для построения практически применимой модели удобно представить комплексный импеданс как сумму вкладов основных физических механизмов:</w:t>
      </w:r>
    </w:p>
    <w:p w14:paraId="2CA4FB29" w14:textId="77777777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A31613" w14:textId="471E0B9C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A2C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7400" w:dyaOrig="400" w14:anchorId="34E8CC00">
          <v:shape id="_x0000_i1058" type="#_x0000_t75" style="width:370pt;height:20.05pt" o:ole="">
            <v:imagedata r:id="rId57" o:title=""/>
          </v:shape>
          <o:OLEObject Type="Embed" ProgID="Equation.DSMT4" ShapeID="_x0000_i1058" DrawAspect="Content" ObjectID="_1835979217" r:id="rId58"/>
        </w:object>
      </w:r>
    </w:p>
    <w:p w14:paraId="5F625C15" w14:textId="77777777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A650BA" w14:textId="2D439637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4A2C">
        <w:rPr>
          <w:rFonts w:ascii="Times New Roman" w:hAnsi="Times New Roman" w:cs="Times New Roman"/>
          <w:sz w:val="28"/>
          <w:szCs w:val="28"/>
        </w:rPr>
        <w:t>Здесь:</w:t>
      </w:r>
    </w:p>
    <w:p w14:paraId="2E053BDF" w14:textId="77777777" w:rsidR="00144A2C" w:rsidRDefault="00144A2C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0F5744" w14:textId="4A184212" w:rsidR="00144A2C" w:rsidRDefault="00A52023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023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3280" w:dyaOrig="400" w14:anchorId="5A68AF44">
          <v:shape id="_x0000_i1061" type="#_x0000_t75" style="width:164.05pt;height:20.05pt" o:ole="">
            <v:imagedata r:id="rId59" o:title=""/>
          </v:shape>
          <o:OLEObject Type="Embed" ProgID="Equation.DSMT4" ShapeID="_x0000_i1061" DrawAspect="Content" ObjectID="_1835979218" r:id="rId60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1DC0E16" w14:textId="5112CDF7" w:rsidR="00A52023" w:rsidRDefault="00A52023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2023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5660" w:dyaOrig="740" w14:anchorId="2E900BAD">
          <v:shape id="_x0000_i1064" type="#_x0000_t75" style="width:283pt;height:36.95pt" o:ole="">
            <v:imagedata r:id="rId61" o:title=""/>
          </v:shape>
          <o:OLEObject Type="Embed" ProgID="Equation.DSMT4" ShapeID="_x0000_i1064" DrawAspect="Content" ObjectID="_1835979219" r:id="rId62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1DBD1AC" w14:textId="56882D63" w:rsidR="00A52023" w:rsidRDefault="009F7716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716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3560" w:dyaOrig="740" w14:anchorId="7665728C">
          <v:shape id="_x0000_i1067" type="#_x0000_t75" style="width:177.8pt;height:36.95pt" o:ole="">
            <v:imagedata r:id="rId63" o:title=""/>
          </v:shape>
          <o:OLEObject Type="Embed" ProgID="Equation.DSMT4" ShapeID="_x0000_i1067" DrawAspect="Content" ObjectID="_1835979220" r:id="rId6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EE11C9" w14:textId="77777777" w:rsidR="009F7716" w:rsidRDefault="009F7716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A2A22B" w14:textId="50E7701F" w:rsidR="009F7716" w:rsidRDefault="00F2431F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31F">
        <w:rPr>
          <w:rFonts w:ascii="Times New Roman" w:hAnsi="Times New Roman" w:cs="Times New Roman"/>
          <w:sz w:val="28"/>
          <w:szCs w:val="28"/>
        </w:rPr>
        <w:t xml:space="preserve">Такая запись сохраняет структуру базовой схемы </w:t>
      </w:r>
      <w:proofErr w:type="spellStart"/>
      <w:r w:rsidRPr="00F2431F">
        <w:rPr>
          <w:rFonts w:ascii="Times New Roman" w:hAnsi="Times New Roman" w:cs="Times New Roman"/>
          <w:sz w:val="28"/>
          <w:szCs w:val="28"/>
        </w:rPr>
        <w:t>Рэндлса</w:t>
      </w:r>
      <w:proofErr w:type="spellEnd"/>
      <w:r w:rsidRPr="00F2431F">
        <w:rPr>
          <w:rFonts w:ascii="Times New Roman" w:hAnsi="Times New Roman" w:cs="Times New Roman"/>
          <w:sz w:val="28"/>
          <w:szCs w:val="28"/>
        </w:rPr>
        <w:t>, но переводит её в параметрически расширенную форму. Это важно по двум причинам. Во-первых, сохраняется физическая интерпретируемость модели. Во-вторых, создаётся возможность строить отдельные подмодели для каждой из переменных</w:t>
      </w:r>
      <w:r w:rsidRPr="00F2431F">
        <w:rPr>
          <w:rFonts w:ascii="Times New Roman" w:hAnsi="Times New Roman" w:cs="Times New Roman"/>
          <w:sz w:val="28"/>
          <w:szCs w:val="28"/>
        </w:rPr>
        <w:t xml:space="preserve"> </w:t>
      </w:r>
      <w:r w:rsidRPr="00F2431F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R</w:t>
      </w:r>
      <w:r w:rsidRPr="00F2431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F24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431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F2431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F24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431F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F2431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proofErr w:type="spellEnd"/>
      <w:r w:rsidRPr="00F2431F">
        <w:rPr>
          <w:rFonts w:ascii="Times New Roman" w:hAnsi="Times New Roman" w:cs="Times New Roman"/>
          <w:sz w:val="28"/>
          <w:szCs w:val="28"/>
        </w:rPr>
        <w:t xml:space="preserve">, </w:t>
      </w:r>
      <w:r w:rsidRPr="00F2431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F2431F">
        <w:rPr>
          <w:rFonts w:ascii="Times New Roman" w:hAnsi="Times New Roman" w:cs="Times New Roman"/>
          <w:sz w:val="28"/>
          <w:szCs w:val="28"/>
        </w:rPr>
        <w:t xml:space="preserve">, </w:t>
      </w:r>
      <w:r w:rsidRPr="00F2431F">
        <w:rPr>
          <w:rFonts w:ascii="Times New Roman" w:hAnsi="Times New Roman" w:cs="Times New Roman"/>
          <w:sz w:val="28"/>
          <w:szCs w:val="28"/>
        </w:rPr>
        <w:t xml:space="preserve">вместо того чтобы аппроксимировать весь спектр одной </w:t>
      </w:r>
      <w:r w:rsidRPr="00F2431F">
        <w:rPr>
          <w:rFonts w:ascii="Times New Roman" w:hAnsi="Times New Roman" w:cs="Times New Roman"/>
          <w:sz w:val="28"/>
          <w:szCs w:val="28"/>
          <w:highlight w:val="yellow"/>
        </w:rPr>
        <w:t>непрозрачной регрессией</w:t>
      </w:r>
      <w:r w:rsidRPr="00F2431F">
        <w:rPr>
          <w:rFonts w:ascii="Times New Roman" w:hAnsi="Times New Roman" w:cs="Times New Roman"/>
          <w:sz w:val="28"/>
          <w:szCs w:val="28"/>
        </w:rPr>
        <w:t>.</w:t>
      </w:r>
    </w:p>
    <w:p w14:paraId="06A943CB" w14:textId="77777777" w:rsidR="00F2431F" w:rsidRDefault="00F2431F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1AAA59" w14:textId="6E664DDC" w:rsidR="00F2431F" w:rsidRP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b/>
          <w:bCs/>
          <w:sz w:val="28"/>
          <w:szCs w:val="28"/>
        </w:rPr>
        <w:t>2.3.3 Температурная параметризация импедансных коэффициентов</w:t>
      </w:r>
    </w:p>
    <w:p w14:paraId="797FEBDA" w14:textId="77777777" w:rsidR="00F2431F" w:rsidRDefault="00F2431F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92C5F9" w14:textId="50F9FED2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sz w:val="28"/>
          <w:szCs w:val="28"/>
        </w:rPr>
        <w:t>Температура входит в модель через закон Аррениуса. Если скорость межфазной реакции подчиняется зависимости</w:t>
      </w:r>
    </w:p>
    <w:p w14:paraId="164921EB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725D7F" w14:textId="1A7DDFD0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3420" w:dyaOrig="840" w14:anchorId="72CF988A">
          <v:shape id="_x0000_i1070" type="#_x0000_t75" style="width:170.9pt;height:41.95pt" o:ole="">
            <v:imagedata r:id="rId65" o:title=""/>
          </v:shape>
          <o:OLEObject Type="Embed" ProgID="Equation.DSMT4" ShapeID="_x0000_i1070" DrawAspect="Content" ObjectID="_1835979221" r:id="rId66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AA0120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7AC9AF" w14:textId="18227C16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sz w:val="28"/>
          <w:szCs w:val="28"/>
        </w:rPr>
        <w:t>то для сопротивления переноса заряда, используя связь</w:t>
      </w:r>
    </w:p>
    <w:p w14:paraId="75687F20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F2BCFC" w14:textId="7ACF2323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960" w:dyaOrig="680" w14:anchorId="5FAD2028">
          <v:shape id="_x0000_i1073" type="#_x0000_t75" style="width:48.2pt;height:33.8pt" o:ole="">
            <v:imagedata r:id="rId67" o:title=""/>
          </v:shape>
          <o:OLEObject Type="Embed" ProgID="Equation.DSMT4" ShapeID="_x0000_i1073" DrawAspect="Content" ObjectID="_1835979222" r:id="rId68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6625B6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D285E" w14:textId="656EC41B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sz w:val="28"/>
          <w:szCs w:val="28"/>
        </w:rPr>
        <w:t>П</w:t>
      </w:r>
      <w:r w:rsidRPr="00551D28">
        <w:rPr>
          <w:rFonts w:ascii="Times New Roman" w:hAnsi="Times New Roman" w:cs="Times New Roman"/>
          <w:sz w:val="28"/>
          <w:szCs w:val="28"/>
        </w:rPr>
        <w:t>олучаем</w:t>
      </w:r>
    </w:p>
    <w:p w14:paraId="246C9B25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F20320" w14:textId="389A370C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5220" w:dyaOrig="840" w14:anchorId="3A4DDE6C">
          <v:shape id="_x0000_i1076" type="#_x0000_t75" style="width:261.1pt;height:41.95pt" o:ole="">
            <v:imagedata r:id="rId69" o:title=""/>
          </v:shape>
          <o:OLEObject Type="Embed" ProgID="Equation.DSMT4" ShapeID="_x0000_i1076" DrawAspect="Content" ObjectID="_1835979223" r:id="rId70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10D69C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22C590" w14:textId="75E60E72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sz w:val="28"/>
          <w:szCs w:val="28"/>
        </w:rPr>
        <w:t>Это выражение означает, что при понижении температуры</w:t>
      </w:r>
      <w:r w:rsidRPr="00551D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51D28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551D2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Pr="00551D28">
        <w:rPr>
          <w:rFonts w:ascii="Times New Roman" w:hAnsi="Times New Roman" w:cs="Times New Roman"/>
          <w:sz w:val="28"/>
          <w:szCs w:val="28"/>
        </w:rPr>
        <w:t xml:space="preserve"> </w:t>
      </w:r>
      <w:r w:rsidRPr="00551D28">
        <w:rPr>
          <w:rFonts w:ascii="Times New Roman" w:hAnsi="Times New Roman" w:cs="Times New Roman"/>
          <w:sz w:val="28"/>
          <w:szCs w:val="28"/>
        </w:rPr>
        <w:t> возрастает</w:t>
      </w:r>
      <w:proofErr w:type="gramEnd"/>
      <w:r w:rsidRPr="00551D28">
        <w:rPr>
          <w:rFonts w:ascii="Times New Roman" w:hAnsi="Times New Roman" w:cs="Times New Roman"/>
          <w:sz w:val="28"/>
          <w:szCs w:val="28"/>
        </w:rPr>
        <w:t xml:space="preserve"> экспоненциально, что согласуется с известным фактом резкого</w:t>
      </w:r>
      <w:r w:rsidRPr="00551D28">
        <w:rPr>
          <w:rFonts w:ascii="Times New Roman" w:hAnsi="Times New Roman" w:cs="Times New Roman"/>
          <w:sz w:val="28"/>
          <w:szCs w:val="28"/>
        </w:rPr>
        <w:t xml:space="preserve"> </w:t>
      </w:r>
      <w:r w:rsidRPr="00551D28">
        <w:rPr>
          <w:rFonts w:ascii="Times New Roman" w:hAnsi="Times New Roman" w:cs="Times New Roman"/>
          <w:sz w:val="28"/>
          <w:szCs w:val="28"/>
        </w:rPr>
        <w:t>увеличения поляризации батареи на холоде.</w:t>
      </w:r>
      <w:r w:rsidRPr="00551D28">
        <w:rPr>
          <w:rFonts w:ascii="Times New Roman" w:hAnsi="Times New Roman" w:cs="Times New Roman"/>
          <w:sz w:val="28"/>
          <w:szCs w:val="28"/>
        </w:rPr>
        <w:t xml:space="preserve"> </w:t>
      </w:r>
      <w:r w:rsidRPr="00551D28">
        <w:rPr>
          <w:rFonts w:ascii="Times New Roman" w:hAnsi="Times New Roman" w:cs="Times New Roman"/>
          <w:sz w:val="28"/>
          <w:szCs w:val="28"/>
        </w:rPr>
        <w:t xml:space="preserve">Подобная температурная зависимость подтверждается как экспериментально, так и в современных моделях состояния </w:t>
      </w:r>
      <w:r w:rsidRPr="00551D28">
        <w:rPr>
          <w:rFonts w:ascii="Times New Roman" w:hAnsi="Times New Roman" w:cs="Times New Roman"/>
          <w:sz w:val="28"/>
          <w:szCs w:val="28"/>
        </w:rPr>
        <w:lastRenderedPageBreak/>
        <w:t>батареи на основе EIS</w:t>
      </w:r>
      <w:r w:rsidRPr="00551D28">
        <w:rPr>
          <w:rFonts w:ascii="Times New Roman" w:hAnsi="Times New Roman" w:cs="Times New Roman"/>
          <w:sz w:val="28"/>
          <w:szCs w:val="28"/>
        </w:rPr>
        <w:t xml:space="preserve">. </w:t>
      </w:r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((</w:t>
      </w:r>
      <w:hyperlink r:id="rId71" w:history="1">
        <w:r w:rsidRPr="00551D28">
          <w:rPr>
            <w:rStyle w:val="ad"/>
            <w:rFonts w:ascii="Times New Roman" w:hAnsi="Times New Roman" w:cs="Times New Roman"/>
            <w:sz w:val="28"/>
            <w:szCs w:val="28"/>
            <w:highlight w:val="yellow"/>
            <w:lang w:val="en-US"/>
          </w:rPr>
          <w:t>https://doi.org/10.1002/ente.201600154</w:t>
        </w:r>
      </w:hyperlink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),</w:t>
      </w:r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</w:t>
      </w:r>
      <w:hyperlink r:id="rId72" w:history="1">
        <w:r w:rsidRPr="00551D28">
          <w:rPr>
            <w:rStyle w:val="ad"/>
            <w:rFonts w:ascii="Times New Roman" w:hAnsi="Times New Roman" w:cs="Times New Roman"/>
            <w:sz w:val="28"/>
            <w:szCs w:val="28"/>
            <w:highlight w:val="yellow"/>
            <w:lang w:val="en-US"/>
          </w:rPr>
          <w:t>https://doi.org/10.1016/j.est.2022.104608)</w:t>
        </w:r>
      </w:hyperlink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)</w:t>
      </w:r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551D2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(sciencedirect.com )</w:t>
      </w:r>
    </w:p>
    <w:p w14:paraId="6B7FCE97" w14:textId="3EAB9671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1D28">
        <w:rPr>
          <w:rFonts w:ascii="Times New Roman" w:hAnsi="Times New Roman" w:cs="Times New Roman"/>
          <w:sz w:val="28"/>
          <w:szCs w:val="28"/>
        </w:rPr>
        <w:t>Аналогично для омической составляющей допустимо записать</w:t>
      </w:r>
    </w:p>
    <w:p w14:paraId="61885F1D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603A01" w14:textId="720580E0" w:rsidR="00551D2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0A08">
        <w:rPr>
          <w:rFonts w:ascii="Times New Roman" w:hAnsi="Times New Roman" w:cs="Times New Roman"/>
          <w:position w:val="-18"/>
          <w:sz w:val="28"/>
          <w:szCs w:val="28"/>
          <w:lang w:val="en-US"/>
        </w:rPr>
        <w:object w:dxaOrig="5120" w:dyaOrig="520" w14:anchorId="349711BA">
          <v:shape id="_x0000_i1081" type="#_x0000_t75" style="width:256.05pt;height:26.3pt" o:ole="">
            <v:imagedata r:id="rId73" o:title=""/>
          </v:shape>
          <o:OLEObject Type="Embed" ProgID="Equation.DSMT4" ShapeID="_x0000_i1081" DrawAspect="Content" ObjectID="_1835979224" r:id="rId7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F0B81A9" w14:textId="77777777" w:rsidR="00551D28" w:rsidRDefault="00551D2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155E2C" w14:textId="7F6C4D43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0A08">
        <w:rPr>
          <w:rFonts w:ascii="Times New Roman" w:hAnsi="Times New Roman" w:cs="Times New Roman"/>
          <w:sz w:val="28"/>
          <w:szCs w:val="28"/>
        </w:rPr>
        <w:t>а поскольку</w:t>
      </w:r>
    </w:p>
    <w:p w14:paraId="4C3C2759" w14:textId="77777777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5A3A86" w14:textId="70D1668A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0A0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960" w:dyaOrig="380" w14:anchorId="691D7650">
          <v:shape id="_x0000_i1084" type="#_x0000_t75" style="width:48.2pt;height:18.8pt" o:ole="">
            <v:imagedata r:id="rId75" o:title=""/>
          </v:shape>
          <o:OLEObject Type="Embed" ProgID="Equation.DSMT4" ShapeID="_x0000_i1084" DrawAspect="Content" ObjectID="_1835979225" r:id="rId76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C6116C8" w14:textId="77777777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8EC717" w14:textId="2EE10237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то</w:t>
      </w:r>
    </w:p>
    <w:p w14:paraId="70F30BD0" w14:textId="77777777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9677C" w14:textId="330823E8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0A08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4959" w:dyaOrig="840" w14:anchorId="6B5A023C">
          <v:shape id="_x0000_i1087" type="#_x0000_t75" style="width:247.95pt;height:41.95pt" o:ole="">
            <v:imagedata r:id="rId77" o:title=""/>
          </v:shape>
          <o:OLEObject Type="Embed" ProgID="Equation.DSMT4" ShapeID="_x0000_i1087" DrawAspect="Content" ObjectID="_1835979226" r:id="rId78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157A14" w14:textId="77777777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3767AD" w14:textId="71F7EFE2" w:rsidR="00AE0A08" w:rsidRDefault="00AE0A08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0A08">
        <w:rPr>
          <w:rFonts w:ascii="Times New Roman" w:hAnsi="Times New Roman" w:cs="Times New Roman"/>
          <w:sz w:val="28"/>
          <w:szCs w:val="28"/>
        </w:rPr>
        <w:t>Таким образом, уже на этом этапе видно, что температура действует на все составляющие спектра, но наиболее сильно — на</w:t>
      </w:r>
      <w:r w:rsidR="008446F3" w:rsidRPr="00844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46F3" w:rsidRPr="008446F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8446F3" w:rsidRPr="008446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proofErr w:type="spellEnd"/>
      <w:r w:rsidR="008446F3" w:rsidRPr="008446F3">
        <w:rPr>
          <w:rFonts w:ascii="Times New Roman" w:hAnsi="Times New Roman" w:cs="Times New Roman"/>
          <w:sz w:val="28"/>
          <w:szCs w:val="28"/>
        </w:rPr>
        <w:t xml:space="preserve"> </w:t>
      </w:r>
      <w:r w:rsidR="008446F3" w:rsidRPr="008446F3">
        <w:rPr>
          <w:rFonts w:ascii="Times New Roman" w:hAnsi="Times New Roman" w:cs="Times New Roman"/>
          <w:sz w:val="28"/>
          <w:szCs w:val="28"/>
        </w:rPr>
        <w:t>и диффузионную составляющую.</w:t>
      </w:r>
    </w:p>
    <w:p w14:paraId="2897B1BB" w14:textId="77777777" w:rsidR="008446F3" w:rsidRDefault="008446F3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E4D09E" w14:textId="528B7AAD" w:rsidR="008446F3" w:rsidRPr="008446F3" w:rsidRDefault="008446F3" w:rsidP="00DC3B2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F3">
        <w:rPr>
          <w:rFonts w:ascii="Times New Roman" w:hAnsi="Times New Roman" w:cs="Times New Roman"/>
          <w:b/>
          <w:bCs/>
          <w:sz w:val="28"/>
          <w:szCs w:val="28"/>
        </w:rPr>
        <w:t>2.3.4 Зависимость от состояния заряда</w:t>
      </w:r>
      <w:r w:rsidRPr="008446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46F3">
        <w:rPr>
          <w:rFonts w:ascii="Times New Roman" w:hAnsi="Times New Roman" w:cs="Times New Roman"/>
          <w:b/>
          <w:bCs/>
          <w:sz w:val="28"/>
          <w:szCs w:val="28"/>
          <w:lang w:val="en-US"/>
        </w:rPr>
        <w:t>SOC</w:t>
      </w:r>
    </w:p>
    <w:p w14:paraId="05FD0774" w14:textId="77777777" w:rsidR="008446F3" w:rsidRDefault="008446F3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247EE1" w14:textId="77777777" w:rsidR="008446F3" w:rsidRPr="008446F3" w:rsidRDefault="008446F3" w:rsidP="00DC3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446F3" w:rsidRPr="008446F3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41ED"/>
    <w:multiLevelType w:val="multilevel"/>
    <w:tmpl w:val="BE72A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2715A7"/>
    <w:multiLevelType w:val="multilevel"/>
    <w:tmpl w:val="D3CE37F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B34A9"/>
    <w:multiLevelType w:val="multilevel"/>
    <w:tmpl w:val="ECBC9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1"/>
  </w:num>
  <w:num w:numId="2" w16cid:durableId="1817649899">
    <w:abstractNumId w:val="8"/>
  </w:num>
  <w:num w:numId="3" w16cid:durableId="1173373436">
    <w:abstractNumId w:val="5"/>
  </w:num>
  <w:num w:numId="4" w16cid:durableId="266350250">
    <w:abstractNumId w:val="3"/>
  </w:num>
  <w:num w:numId="5" w16cid:durableId="1895386371">
    <w:abstractNumId w:val="6"/>
  </w:num>
  <w:num w:numId="6" w16cid:durableId="1867982396">
    <w:abstractNumId w:val="10"/>
  </w:num>
  <w:num w:numId="7" w16cid:durableId="863178132">
    <w:abstractNumId w:val="7"/>
  </w:num>
  <w:num w:numId="8" w16cid:durableId="2023506409">
    <w:abstractNumId w:val="11"/>
  </w:num>
  <w:num w:numId="9" w16cid:durableId="348681076">
    <w:abstractNumId w:val="9"/>
  </w:num>
  <w:num w:numId="10" w16cid:durableId="2020345810">
    <w:abstractNumId w:val="2"/>
  </w:num>
  <w:num w:numId="11" w16cid:durableId="1386222610">
    <w:abstractNumId w:val="4"/>
  </w:num>
  <w:num w:numId="12" w16cid:durableId="98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009D4"/>
    <w:rsid w:val="0000453A"/>
    <w:rsid w:val="00021643"/>
    <w:rsid w:val="00026C0E"/>
    <w:rsid w:val="00031DF2"/>
    <w:rsid w:val="000325D8"/>
    <w:rsid w:val="00034171"/>
    <w:rsid w:val="000347E1"/>
    <w:rsid w:val="00061A05"/>
    <w:rsid w:val="0006550F"/>
    <w:rsid w:val="0007376D"/>
    <w:rsid w:val="000737B2"/>
    <w:rsid w:val="00074F0F"/>
    <w:rsid w:val="0008035D"/>
    <w:rsid w:val="000827A2"/>
    <w:rsid w:val="00084189"/>
    <w:rsid w:val="00084EA8"/>
    <w:rsid w:val="00090672"/>
    <w:rsid w:val="00093D8D"/>
    <w:rsid w:val="00094526"/>
    <w:rsid w:val="000A004B"/>
    <w:rsid w:val="000A06AE"/>
    <w:rsid w:val="000A5140"/>
    <w:rsid w:val="000B7EAC"/>
    <w:rsid w:val="000C45A7"/>
    <w:rsid w:val="000D1017"/>
    <w:rsid w:val="000E1575"/>
    <w:rsid w:val="000E50F5"/>
    <w:rsid w:val="000E7050"/>
    <w:rsid w:val="000E7EAE"/>
    <w:rsid w:val="000F515C"/>
    <w:rsid w:val="000F5501"/>
    <w:rsid w:val="001016FF"/>
    <w:rsid w:val="00110782"/>
    <w:rsid w:val="00110D50"/>
    <w:rsid w:val="00112725"/>
    <w:rsid w:val="00112792"/>
    <w:rsid w:val="00116F2B"/>
    <w:rsid w:val="00123A52"/>
    <w:rsid w:val="00123AF5"/>
    <w:rsid w:val="00126604"/>
    <w:rsid w:val="00126864"/>
    <w:rsid w:val="001304D0"/>
    <w:rsid w:val="00131CCA"/>
    <w:rsid w:val="00140008"/>
    <w:rsid w:val="00141ED6"/>
    <w:rsid w:val="00144A2C"/>
    <w:rsid w:val="00147027"/>
    <w:rsid w:val="00147162"/>
    <w:rsid w:val="00156A70"/>
    <w:rsid w:val="00156EC4"/>
    <w:rsid w:val="001602D9"/>
    <w:rsid w:val="001614F9"/>
    <w:rsid w:val="00162B8E"/>
    <w:rsid w:val="001759E4"/>
    <w:rsid w:val="00192726"/>
    <w:rsid w:val="00193DC0"/>
    <w:rsid w:val="001A0B8F"/>
    <w:rsid w:val="001A49AA"/>
    <w:rsid w:val="001B3024"/>
    <w:rsid w:val="001B7A97"/>
    <w:rsid w:val="001D403F"/>
    <w:rsid w:val="001D7450"/>
    <w:rsid w:val="001F0927"/>
    <w:rsid w:val="001F2F9C"/>
    <w:rsid w:val="00204A17"/>
    <w:rsid w:val="0020557F"/>
    <w:rsid w:val="00206663"/>
    <w:rsid w:val="00206F49"/>
    <w:rsid w:val="002139A3"/>
    <w:rsid w:val="00216404"/>
    <w:rsid w:val="0021675A"/>
    <w:rsid w:val="00222920"/>
    <w:rsid w:val="00223448"/>
    <w:rsid w:val="00234A24"/>
    <w:rsid w:val="002358CD"/>
    <w:rsid w:val="00242C76"/>
    <w:rsid w:val="002446A7"/>
    <w:rsid w:val="002616AB"/>
    <w:rsid w:val="002638C1"/>
    <w:rsid w:val="00264837"/>
    <w:rsid w:val="00277B04"/>
    <w:rsid w:val="00283988"/>
    <w:rsid w:val="0028792F"/>
    <w:rsid w:val="002A4021"/>
    <w:rsid w:val="002A4899"/>
    <w:rsid w:val="002A4D23"/>
    <w:rsid w:val="002A4FF1"/>
    <w:rsid w:val="002A657A"/>
    <w:rsid w:val="002B1D51"/>
    <w:rsid w:val="002B1F3B"/>
    <w:rsid w:val="002B439F"/>
    <w:rsid w:val="002B5968"/>
    <w:rsid w:val="002C18E0"/>
    <w:rsid w:val="002C7B6C"/>
    <w:rsid w:val="002D41D3"/>
    <w:rsid w:val="002D4A79"/>
    <w:rsid w:val="002D5799"/>
    <w:rsid w:val="002E5720"/>
    <w:rsid w:val="002F2C01"/>
    <w:rsid w:val="002F7101"/>
    <w:rsid w:val="003070C4"/>
    <w:rsid w:val="00320211"/>
    <w:rsid w:val="00325E07"/>
    <w:rsid w:val="00331993"/>
    <w:rsid w:val="00340B36"/>
    <w:rsid w:val="00341ACE"/>
    <w:rsid w:val="003451A7"/>
    <w:rsid w:val="00351285"/>
    <w:rsid w:val="00352611"/>
    <w:rsid w:val="00355915"/>
    <w:rsid w:val="00356165"/>
    <w:rsid w:val="00356877"/>
    <w:rsid w:val="00357E99"/>
    <w:rsid w:val="00361815"/>
    <w:rsid w:val="00363772"/>
    <w:rsid w:val="00371DD5"/>
    <w:rsid w:val="00376127"/>
    <w:rsid w:val="00381AA1"/>
    <w:rsid w:val="003843D7"/>
    <w:rsid w:val="00384BE1"/>
    <w:rsid w:val="00390659"/>
    <w:rsid w:val="003906B2"/>
    <w:rsid w:val="00393D50"/>
    <w:rsid w:val="00394B22"/>
    <w:rsid w:val="00394F03"/>
    <w:rsid w:val="00395A91"/>
    <w:rsid w:val="003A5AEA"/>
    <w:rsid w:val="003A646E"/>
    <w:rsid w:val="003A7725"/>
    <w:rsid w:val="003B6EAE"/>
    <w:rsid w:val="003B7B25"/>
    <w:rsid w:val="003C4AE3"/>
    <w:rsid w:val="003D3875"/>
    <w:rsid w:val="003E0283"/>
    <w:rsid w:val="003E2E09"/>
    <w:rsid w:val="003E7F28"/>
    <w:rsid w:val="003E7F8F"/>
    <w:rsid w:val="004015C2"/>
    <w:rsid w:val="00411245"/>
    <w:rsid w:val="00414374"/>
    <w:rsid w:val="00415E90"/>
    <w:rsid w:val="00416FD2"/>
    <w:rsid w:val="00417535"/>
    <w:rsid w:val="00420211"/>
    <w:rsid w:val="00422DB9"/>
    <w:rsid w:val="00423027"/>
    <w:rsid w:val="00426939"/>
    <w:rsid w:val="00435449"/>
    <w:rsid w:val="00443C43"/>
    <w:rsid w:val="00445407"/>
    <w:rsid w:val="0044617A"/>
    <w:rsid w:val="00453D55"/>
    <w:rsid w:val="004541DF"/>
    <w:rsid w:val="00462264"/>
    <w:rsid w:val="0046243E"/>
    <w:rsid w:val="00466767"/>
    <w:rsid w:val="00473BD3"/>
    <w:rsid w:val="00474A30"/>
    <w:rsid w:val="00475DF7"/>
    <w:rsid w:val="0048460B"/>
    <w:rsid w:val="00486F2C"/>
    <w:rsid w:val="004A40D1"/>
    <w:rsid w:val="004A5C3A"/>
    <w:rsid w:val="004B0885"/>
    <w:rsid w:val="004B2EDB"/>
    <w:rsid w:val="004B5BBF"/>
    <w:rsid w:val="004B68AE"/>
    <w:rsid w:val="004C5D10"/>
    <w:rsid w:val="004D0025"/>
    <w:rsid w:val="004D0B2B"/>
    <w:rsid w:val="004D7061"/>
    <w:rsid w:val="004E73D4"/>
    <w:rsid w:val="005004FB"/>
    <w:rsid w:val="005047D2"/>
    <w:rsid w:val="00505539"/>
    <w:rsid w:val="0050687E"/>
    <w:rsid w:val="00507266"/>
    <w:rsid w:val="00507907"/>
    <w:rsid w:val="0051321D"/>
    <w:rsid w:val="00515AA3"/>
    <w:rsid w:val="00516B33"/>
    <w:rsid w:val="00520843"/>
    <w:rsid w:val="00522B5B"/>
    <w:rsid w:val="00537684"/>
    <w:rsid w:val="00541074"/>
    <w:rsid w:val="00551D28"/>
    <w:rsid w:val="00552AA7"/>
    <w:rsid w:val="00561EB4"/>
    <w:rsid w:val="0056443E"/>
    <w:rsid w:val="0056469F"/>
    <w:rsid w:val="00573537"/>
    <w:rsid w:val="00574A9B"/>
    <w:rsid w:val="0057524C"/>
    <w:rsid w:val="005763C3"/>
    <w:rsid w:val="00581049"/>
    <w:rsid w:val="00581551"/>
    <w:rsid w:val="005815A9"/>
    <w:rsid w:val="00592D1B"/>
    <w:rsid w:val="00593C57"/>
    <w:rsid w:val="00596BA8"/>
    <w:rsid w:val="005B6EA7"/>
    <w:rsid w:val="005B7233"/>
    <w:rsid w:val="005C227D"/>
    <w:rsid w:val="005C5B7F"/>
    <w:rsid w:val="005D1729"/>
    <w:rsid w:val="005D32F1"/>
    <w:rsid w:val="005D61EC"/>
    <w:rsid w:val="005E51FC"/>
    <w:rsid w:val="005F331D"/>
    <w:rsid w:val="00604DBC"/>
    <w:rsid w:val="00607463"/>
    <w:rsid w:val="006159CC"/>
    <w:rsid w:val="00615E2B"/>
    <w:rsid w:val="00621FAF"/>
    <w:rsid w:val="00622012"/>
    <w:rsid w:val="00623599"/>
    <w:rsid w:val="006241C1"/>
    <w:rsid w:val="00624857"/>
    <w:rsid w:val="006270BF"/>
    <w:rsid w:val="0062724D"/>
    <w:rsid w:val="006317CF"/>
    <w:rsid w:val="00635E9E"/>
    <w:rsid w:val="00651AA9"/>
    <w:rsid w:val="00651F8E"/>
    <w:rsid w:val="00654960"/>
    <w:rsid w:val="006565E1"/>
    <w:rsid w:val="006620DD"/>
    <w:rsid w:val="00664B88"/>
    <w:rsid w:val="006707D7"/>
    <w:rsid w:val="006758B4"/>
    <w:rsid w:val="006765D7"/>
    <w:rsid w:val="006769B4"/>
    <w:rsid w:val="00681A90"/>
    <w:rsid w:val="00681EE6"/>
    <w:rsid w:val="0068274B"/>
    <w:rsid w:val="00683D88"/>
    <w:rsid w:val="00684B83"/>
    <w:rsid w:val="00690F2A"/>
    <w:rsid w:val="006A24C3"/>
    <w:rsid w:val="006B4872"/>
    <w:rsid w:val="006B6106"/>
    <w:rsid w:val="006C7EA1"/>
    <w:rsid w:val="006D51C4"/>
    <w:rsid w:val="006D5D13"/>
    <w:rsid w:val="006D6714"/>
    <w:rsid w:val="006D6B85"/>
    <w:rsid w:val="006E30D1"/>
    <w:rsid w:val="006E4AB9"/>
    <w:rsid w:val="006F49B8"/>
    <w:rsid w:val="006F610E"/>
    <w:rsid w:val="00700901"/>
    <w:rsid w:val="007066E1"/>
    <w:rsid w:val="00707496"/>
    <w:rsid w:val="007111AC"/>
    <w:rsid w:val="007147D4"/>
    <w:rsid w:val="00714ABB"/>
    <w:rsid w:val="007154BD"/>
    <w:rsid w:val="00716E16"/>
    <w:rsid w:val="0072389C"/>
    <w:rsid w:val="0072749C"/>
    <w:rsid w:val="0073293F"/>
    <w:rsid w:val="00741AF1"/>
    <w:rsid w:val="007431E4"/>
    <w:rsid w:val="00760A0D"/>
    <w:rsid w:val="007649B5"/>
    <w:rsid w:val="007649EA"/>
    <w:rsid w:val="00764CBB"/>
    <w:rsid w:val="00770FC8"/>
    <w:rsid w:val="00772E97"/>
    <w:rsid w:val="007736E6"/>
    <w:rsid w:val="0078052A"/>
    <w:rsid w:val="007846DD"/>
    <w:rsid w:val="00795D96"/>
    <w:rsid w:val="00796AA0"/>
    <w:rsid w:val="007A1B5F"/>
    <w:rsid w:val="007A32DC"/>
    <w:rsid w:val="007A4BA2"/>
    <w:rsid w:val="007A5477"/>
    <w:rsid w:val="007B0D79"/>
    <w:rsid w:val="007B2450"/>
    <w:rsid w:val="007B4924"/>
    <w:rsid w:val="007B61E6"/>
    <w:rsid w:val="007C1A6F"/>
    <w:rsid w:val="007C2566"/>
    <w:rsid w:val="007C6A04"/>
    <w:rsid w:val="007C7DAD"/>
    <w:rsid w:val="007D40EA"/>
    <w:rsid w:val="007E1114"/>
    <w:rsid w:val="007F76A4"/>
    <w:rsid w:val="00801898"/>
    <w:rsid w:val="00805DD6"/>
    <w:rsid w:val="0080637A"/>
    <w:rsid w:val="00824D26"/>
    <w:rsid w:val="0082599F"/>
    <w:rsid w:val="008262A5"/>
    <w:rsid w:val="00832752"/>
    <w:rsid w:val="008353D2"/>
    <w:rsid w:val="0083645B"/>
    <w:rsid w:val="0084020D"/>
    <w:rsid w:val="00841146"/>
    <w:rsid w:val="008446F3"/>
    <w:rsid w:val="00845853"/>
    <w:rsid w:val="00854645"/>
    <w:rsid w:val="00855B00"/>
    <w:rsid w:val="00863A31"/>
    <w:rsid w:val="00865BBC"/>
    <w:rsid w:val="00866F39"/>
    <w:rsid w:val="008733DF"/>
    <w:rsid w:val="0087345C"/>
    <w:rsid w:val="0087489C"/>
    <w:rsid w:val="008776EE"/>
    <w:rsid w:val="008808D8"/>
    <w:rsid w:val="008815CB"/>
    <w:rsid w:val="0088180D"/>
    <w:rsid w:val="00883ADC"/>
    <w:rsid w:val="00885745"/>
    <w:rsid w:val="00885A97"/>
    <w:rsid w:val="00887D7B"/>
    <w:rsid w:val="00892BEC"/>
    <w:rsid w:val="00895C07"/>
    <w:rsid w:val="008A0B55"/>
    <w:rsid w:val="008A210B"/>
    <w:rsid w:val="008A782A"/>
    <w:rsid w:val="008B2348"/>
    <w:rsid w:val="008B31A9"/>
    <w:rsid w:val="008B66C9"/>
    <w:rsid w:val="008B7B9A"/>
    <w:rsid w:val="008C247C"/>
    <w:rsid w:val="008C2C58"/>
    <w:rsid w:val="008C2FE2"/>
    <w:rsid w:val="008C72D1"/>
    <w:rsid w:val="008D2C3D"/>
    <w:rsid w:val="008D3B8C"/>
    <w:rsid w:val="008D4C53"/>
    <w:rsid w:val="008E3C59"/>
    <w:rsid w:val="008E4359"/>
    <w:rsid w:val="008E4984"/>
    <w:rsid w:val="008E688D"/>
    <w:rsid w:val="008F35AC"/>
    <w:rsid w:val="008F3639"/>
    <w:rsid w:val="008F643C"/>
    <w:rsid w:val="00901DBF"/>
    <w:rsid w:val="00902FA4"/>
    <w:rsid w:val="00903768"/>
    <w:rsid w:val="0090419A"/>
    <w:rsid w:val="00904F4D"/>
    <w:rsid w:val="00905695"/>
    <w:rsid w:val="00910019"/>
    <w:rsid w:val="00914F21"/>
    <w:rsid w:val="00927FAB"/>
    <w:rsid w:val="00930775"/>
    <w:rsid w:val="00931203"/>
    <w:rsid w:val="00932DD5"/>
    <w:rsid w:val="00943D79"/>
    <w:rsid w:val="00944667"/>
    <w:rsid w:val="00947272"/>
    <w:rsid w:val="00947DDC"/>
    <w:rsid w:val="009500CD"/>
    <w:rsid w:val="00951116"/>
    <w:rsid w:val="00956A45"/>
    <w:rsid w:val="00960CFC"/>
    <w:rsid w:val="00962AB9"/>
    <w:rsid w:val="009726DE"/>
    <w:rsid w:val="00972CF7"/>
    <w:rsid w:val="009761FB"/>
    <w:rsid w:val="00980327"/>
    <w:rsid w:val="009862F4"/>
    <w:rsid w:val="00987B84"/>
    <w:rsid w:val="00993ACA"/>
    <w:rsid w:val="00995500"/>
    <w:rsid w:val="00996796"/>
    <w:rsid w:val="009A0BF5"/>
    <w:rsid w:val="009B5CC0"/>
    <w:rsid w:val="009C73A4"/>
    <w:rsid w:val="009D7C13"/>
    <w:rsid w:val="009E2D0F"/>
    <w:rsid w:val="009F7716"/>
    <w:rsid w:val="00A01B55"/>
    <w:rsid w:val="00A05515"/>
    <w:rsid w:val="00A07748"/>
    <w:rsid w:val="00A1102D"/>
    <w:rsid w:val="00A15C66"/>
    <w:rsid w:val="00A26AE9"/>
    <w:rsid w:val="00A26B7B"/>
    <w:rsid w:val="00A27A0F"/>
    <w:rsid w:val="00A3109E"/>
    <w:rsid w:val="00A41681"/>
    <w:rsid w:val="00A51AB9"/>
    <w:rsid w:val="00A52023"/>
    <w:rsid w:val="00A573A9"/>
    <w:rsid w:val="00A64406"/>
    <w:rsid w:val="00A64A54"/>
    <w:rsid w:val="00A678C9"/>
    <w:rsid w:val="00A719C0"/>
    <w:rsid w:val="00A733F1"/>
    <w:rsid w:val="00A73453"/>
    <w:rsid w:val="00A735FA"/>
    <w:rsid w:val="00A76EA8"/>
    <w:rsid w:val="00A7709D"/>
    <w:rsid w:val="00A805C0"/>
    <w:rsid w:val="00A82A34"/>
    <w:rsid w:val="00A83450"/>
    <w:rsid w:val="00A83912"/>
    <w:rsid w:val="00A83D65"/>
    <w:rsid w:val="00A84028"/>
    <w:rsid w:val="00A849C1"/>
    <w:rsid w:val="00AA580B"/>
    <w:rsid w:val="00AB1175"/>
    <w:rsid w:val="00AB199D"/>
    <w:rsid w:val="00AC37DB"/>
    <w:rsid w:val="00AC57A6"/>
    <w:rsid w:val="00AC6228"/>
    <w:rsid w:val="00AD1B3E"/>
    <w:rsid w:val="00AD1CE9"/>
    <w:rsid w:val="00AD6898"/>
    <w:rsid w:val="00AE0A08"/>
    <w:rsid w:val="00AE27B1"/>
    <w:rsid w:val="00AE48BB"/>
    <w:rsid w:val="00AF1D4F"/>
    <w:rsid w:val="00AF78E0"/>
    <w:rsid w:val="00B021FE"/>
    <w:rsid w:val="00B023A1"/>
    <w:rsid w:val="00B033D7"/>
    <w:rsid w:val="00B13293"/>
    <w:rsid w:val="00B154A1"/>
    <w:rsid w:val="00B22AC9"/>
    <w:rsid w:val="00B263A4"/>
    <w:rsid w:val="00B324F1"/>
    <w:rsid w:val="00B33E3A"/>
    <w:rsid w:val="00B37C45"/>
    <w:rsid w:val="00B4726D"/>
    <w:rsid w:val="00B509A7"/>
    <w:rsid w:val="00B525A8"/>
    <w:rsid w:val="00B56BFE"/>
    <w:rsid w:val="00B63528"/>
    <w:rsid w:val="00B70450"/>
    <w:rsid w:val="00B76180"/>
    <w:rsid w:val="00B77616"/>
    <w:rsid w:val="00B7783E"/>
    <w:rsid w:val="00B93DE5"/>
    <w:rsid w:val="00BA643E"/>
    <w:rsid w:val="00BA7334"/>
    <w:rsid w:val="00BB5F49"/>
    <w:rsid w:val="00BB7242"/>
    <w:rsid w:val="00BD489F"/>
    <w:rsid w:val="00BD58F0"/>
    <w:rsid w:val="00BE43FE"/>
    <w:rsid w:val="00C005C8"/>
    <w:rsid w:val="00C055C8"/>
    <w:rsid w:val="00C136D9"/>
    <w:rsid w:val="00C1563B"/>
    <w:rsid w:val="00C23DEF"/>
    <w:rsid w:val="00C2560F"/>
    <w:rsid w:val="00C26DA0"/>
    <w:rsid w:val="00C321F5"/>
    <w:rsid w:val="00C32BC9"/>
    <w:rsid w:val="00C3504E"/>
    <w:rsid w:val="00C40F1C"/>
    <w:rsid w:val="00C44176"/>
    <w:rsid w:val="00C47C4E"/>
    <w:rsid w:val="00C56338"/>
    <w:rsid w:val="00C5658D"/>
    <w:rsid w:val="00C614AC"/>
    <w:rsid w:val="00C7323B"/>
    <w:rsid w:val="00C7366C"/>
    <w:rsid w:val="00C741F8"/>
    <w:rsid w:val="00C7589D"/>
    <w:rsid w:val="00C77969"/>
    <w:rsid w:val="00C77E42"/>
    <w:rsid w:val="00C81F23"/>
    <w:rsid w:val="00C94C2C"/>
    <w:rsid w:val="00C9579D"/>
    <w:rsid w:val="00C97C98"/>
    <w:rsid w:val="00CA27C9"/>
    <w:rsid w:val="00CB0D7C"/>
    <w:rsid w:val="00CB155F"/>
    <w:rsid w:val="00CC2ACB"/>
    <w:rsid w:val="00CE291A"/>
    <w:rsid w:val="00CE3413"/>
    <w:rsid w:val="00CF0E33"/>
    <w:rsid w:val="00CF43BE"/>
    <w:rsid w:val="00D01A5E"/>
    <w:rsid w:val="00D02E7C"/>
    <w:rsid w:val="00D03686"/>
    <w:rsid w:val="00D048A9"/>
    <w:rsid w:val="00D05F77"/>
    <w:rsid w:val="00D07C8B"/>
    <w:rsid w:val="00D11DDA"/>
    <w:rsid w:val="00D1756A"/>
    <w:rsid w:val="00D20D67"/>
    <w:rsid w:val="00D21680"/>
    <w:rsid w:val="00D2677E"/>
    <w:rsid w:val="00D322C8"/>
    <w:rsid w:val="00D34426"/>
    <w:rsid w:val="00D400C8"/>
    <w:rsid w:val="00D40774"/>
    <w:rsid w:val="00D4400F"/>
    <w:rsid w:val="00D544EB"/>
    <w:rsid w:val="00D54A84"/>
    <w:rsid w:val="00D56314"/>
    <w:rsid w:val="00D567B3"/>
    <w:rsid w:val="00D70804"/>
    <w:rsid w:val="00D73247"/>
    <w:rsid w:val="00D81E00"/>
    <w:rsid w:val="00D87456"/>
    <w:rsid w:val="00DB4CC8"/>
    <w:rsid w:val="00DB6971"/>
    <w:rsid w:val="00DC3B2C"/>
    <w:rsid w:val="00DE0E51"/>
    <w:rsid w:val="00DE1452"/>
    <w:rsid w:val="00DE3546"/>
    <w:rsid w:val="00DE3D9A"/>
    <w:rsid w:val="00DE758C"/>
    <w:rsid w:val="00DE763F"/>
    <w:rsid w:val="00DE7681"/>
    <w:rsid w:val="00DF1117"/>
    <w:rsid w:val="00DF4B02"/>
    <w:rsid w:val="00DF4BFB"/>
    <w:rsid w:val="00DF68FB"/>
    <w:rsid w:val="00E004BC"/>
    <w:rsid w:val="00E02636"/>
    <w:rsid w:val="00E0286A"/>
    <w:rsid w:val="00E076D9"/>
    <w:rsid w:val="00E22459"/>
    <w:rsid w:val="00E343F4"/>
    <w:rsid w:val="00E3731B"/>
    <w:rsid w:val="00E5270D"/>
    <w:rsid w:val="00E5587A"/>
    <w:rsid w:val="00E62D89"/>
    <w:rsid w:val="00E74340"/>
    <w:rsid w:val="00E844DC"/>
    <w:rsid w:val="00E847DD"/>
    <w:rsid w:val="00E905B9"/>
    <w:rsid w:val="00E90F79"/>
    <w:rsid w:val="00E92F2E"/>
    <w:rsid w:val="00E935C6"/>
    <w:rsid w:val="00E94AEE"/>
    <w:rsid w:val="00EA0500"/>
    <w:rsid w:val="00EA4FE0"/>
    <w:rsid w:val="00EA7000"/>
    <w:rsid w:val="00EA71E1"/>
    <w:rsid w:val="00EB1752"/>
    <w:rsid w:val="00EB2EF3"/>
    <w:rsid w:val="00EB57CC"/>
    <w:rsid w:val="00EB5BB7"/>
    <w:rsid w:val="00EC0658"/>
    <w:rsid w:val="00EC330C"/>
    <w:rsid w:val="00EC4694"/>
    <w:rsid w:val="00EC53E3"/>
    <w:rsid w:val="00EC5BEB"/>
    <w:rsid w:val="00EC632F"/>
    <w:rsid w:val="00EC633C"/>
    <w:rsid w:val="00EE12F0"/>
    <w:rsid w:val="00EE2612"/>
    <w:rsid w:val="00EE37F5"/>
    <w:rsid w:val="00EE5475"/>
    <w:rsid w:val="00EE6018"/>
    <w:rsid w:val="00EE65D3"/>
    <w:rsid w:val="00EE687B"/>
    <w:rsid w:val="00F008CD"/>
    <w:rsid w:val="00F00EB5"/>
    <w:rsid w:val="00F04658"/>
    <w:rsid w:val="00F0482E"/>
    <w:rsid w:val="00F071E9"/>
    <w:rsid w:val="00F109F1"/>
    <w:rsid w:val="00F2275A"/>
    <w:rsid w:val="00F2431F"/>
    <w:rsid w:val="00F2638A"/>
    <w:rsid w:val="00F31616"/>
    <w:rsid w:val="00F3389B"/>
    <w:rsid w:val="00F35630"/>
    <w:rsid w:val="00F439D1"/>
    <w:rsid w:val="00F4518D"/>
    <w:rsid w:val="00F50231"/>
    <w:rsid w:val="00F5115E"/>
    <w:rsid w:val="00F548B0"/>
    <w:rsid w:val="00F54D08"/>
    <w:rsid w:val="00F564B9"/>
    <w:rsid w:val="00F63D24"/>
    <w:rsid w:val="00F76BC7"/>
    <w:rsid w:val="00F86185"/>
    <w:rsid w:val="00F9231E"/>
    <w:rsid w:val="00F96030"/>
    <w:rsid w:val="00FA5E0A"/>
    <w:rsid w:val="00FB514F"/>
    <w:rsid w:val="00FB5916"/>
    <w:rsid w:val="00FB7D2A"/>
    <w:rsid w:val="00FC19D7"/>
    <w:rsid w:val="00FC1FE6"/>
    <w:rsid w:val="00FC253A"/>
    <w:rsid w:val="00FD5058"/>
    <w:rsid w:val="00FD7F1B"/>
    <w:rsid w:val="00FE5D03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C6A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C6A04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E343F4"/>
    <w:pPr>
      <w:tabs>
        <w:tab w:val="center" w:pos="4820"/>
        <w:tab w:val="right" w:pos="9640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E343F4"/>
    <w:rPr>
      <w:rFonts w:ascii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oleObject" Target="embeddings/oleObject8.bin"/><Relationship Id="rId39" Type="http://schemas.openxmlformats.org/officeDocument/2006/relationships/hyperlink" Target="https://doi.org/10.1021/acsmeasuresciau.2c00070)" TargetMode="External"/><Relationship Id="rId21" Type="http://schemas.openxmlformats.org/officeDocument/2006/relationships/image" Target="media/image7.wmf"/><Relationship Id="rId34" Type="http://schemas.openxmlformats.org/officeDocument/2006/relationships/image" Target="media/image13.png"/><Relationship Id="rId42" Type="http://schemas.openxmlformats.org/officeDocument/2006/relationships/image" Target="media/image17.wmf"/><Relationship Id="rId47" Type="http://schemas.openxmlformats.org/officeDocument/2006/relationships/oleObject" Target="embeddings/oleObject17.bin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27.bin"/><Relationship Id="rId76" Type="http://schemas.openxmlformats.org/officeDocument/2006/relationships/oleObject" Target="embeddings/oleObject30.bin"/><Relationship Id="rId7" Type="http://schemas.openxmlformats.org/officeDocument/2006/relationships/hyperlink" Target="https://doi.org/10.1021/acsmeasuresciau.2c00070)" TargetMode="External"/><Relationship Id="rId71" Type="http://schemas.openxmlformats.org/officeDocument/2006/relationships/hyperlink" Target="https://doi.org/10.1002/ente.20160015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hyperlink" Target="https://doi.org/10.1039/C6CP05049B)" TargetMode="External"/><Relationship Id="rId11" Type="http://schemas.openxmlformats.org/officeDocument/2006/relationships/hyperlink" Target="https://doi.org/10.1021/acsmeasuresciau.2c00070)" TargetMode="External"/><Relationship Id="rId24" Type="http://schemas.openxmlformats.org/officeDocument/2006/relationships/oleObject" Target="embeddings/oleObject7.bin"/><Relationship Id="rId32" Type="http://schemas.openxmlformats.org/officeDocument/2006/relationships/image" Target="media/image12.wmf"/><Relationship Id="rId37" Type="http://schemas.openxmlformats.org/officeDocument/2006/relationships/image" Target="media/image15.wmf"/><Relationship Id="rId40" Type="http://schemas.openxmlformats.org/officeDocument/2006/relationships/image" Target="media/image16.wmf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74" Type="http://schemas.openxmlformats.org/officeDocument/2006/relationships/oleObject" Target="embeddings/oleObject29.bin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6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0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oleObject" Target="embeddings/oleObject23.bin"/><Relationship Id="rId65" Type="http://schemas.openxmlformats.org/officeDocument/2006/relationships/image" Target="media/image28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image" Target="media/image11.wmf"/><Relationship Id="rId35" Type="http://schemas.openxmlformats.org/officeDocument/2006/relationships/image" Target="media/image14.wmf"/><Relationship Id="rId43" Type="http://schemas.openxmlformats.org/officeDocument/2006/relationships/oleObject" Target="embeddings/oleObject15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0.wmf"/><Relationship Id="rId77" Type="http://schemas.openxmlformats.org/officeDocument/2006/relationships/image" Target="media/image33.wmf"/><Relationship Id="rId8" Type="http://schemas.openxmlformats.org/officeDocument/2006/relationships/hyperlink" Target="https://doi.org/10.1016/j.jelechem.2020.114145),(https://doi.org/10.1039/C6CP05049B)" TargetMode="External"/><Relationship Id="rId51" Type="http://schemas.openxmlformats.org/officeDocument/2006/relationships/oleObject" Target="embeddings/oleObject19.bin"/><Relationship Id="rId72" Type="http://schemas.openxmlformats.org/officeDocument/2006/relationships/hyperlink" Target="https://doi.org/10.1016/j.est.2022.104608)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9.wmf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46" Type="http://schemas.openxmlformats.org/officeDocument/2006/relationships/image" Target="media/image19.wmf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hyperlink" Target="https://doi.org/10.1039/DF9470100011)(https://doi.org/10.1016/j.jelechem.2020.114145)" TargetMode="External"/><Relationship Id="rId41" Type="http://schemas.openxmlformats.org/officeDocument/2006/relationships/oleObject" Target="embeddings/oleObject14.bin"/><Relationship Id="rId54" Type="http://schemas.openxmlformats.org/officeDocument/2006/relationships/hyperlink" Target="https://doi.org/10.1155/2024/9657360" TargetMode="External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2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8.bin"/><Relationship Id="rId57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</Pages>
  <Words>2748</Words>
  <Characters>15667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524</cp:revision>
  <dcterms:created xsi:type="dcterms:W3CDTF">2026-03-08T09:35:00Z</dcterms:created>
  <dcterms:modified xsi:type="dcterms:W3CDTF">2026-03-25T14:22:00Z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