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EAF22" w14:textId="43D54EBA" w:rsidR="00622012" w:rsidRPr="00417A3C" w:rsidRDefault="008D0ABF" w:rsidP="005D4C07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7A3C">
        <w:rPr>
          <w:rFonts w:ascii="Times New Roman" w:hAnsi="Times New Roman" w:cs="Times New Roman"/>
          <w:b/>
          <w:bCs/>
          <w:sz w:val="28"/>
          <w:szCs w:val="28"/>
        </w:rPr>
        <w:t>ГЛАВА 1</w:t>
      </w:r>
      <w:r w:rsidR="006408A7" w:rsidRPr="00417A3C">
        <w:rPr>
          <w:rFonts w:ascii="Times New Roman" w:hAnsi="Times New Roman" w:cs="Times New Roman"/>
          <w:b/>
          <w:bCs/>
          <w:sz w:val="28"/>
          <w:szCs w:val="28"/>
        </w:rPr>
        <w:t xml:space="preserve"> СОВРЕМЕННОЕ СОСТОЯНИЕ МЕТОДОВ ДИАГНОСТИКИ И ПРОГНОЗИРОВАНИЯ РЕСУРСА ТЯГОВЫХ АККУМУЛЯТОРНЫХ БАТАРЕЙ</w:t>
      </w:r>
    </w:p>
    <w:p w14:paraId="0307F880" w14:textId="77777777" w:rsidR="00417A3C" w:rsidRDefault="00417A3C" w:rsidP="00417A3C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B6D0A2A" w14:textId="74C86F35" w:rsidR="00417A3C" w:rsidRDefault="005D4C07" w:rsidP="005D4C0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D4C07">
        <w:rPr>
          <w:rFonts w:ascii="Times New Roman" w:hAnsi="Times New Roman" w:cs="Times New Roman"/>
          <w:b/>
          <w:bCs/>
          <w:sz w:val="28"/>
          <w:szCs w:val="28"/>
        </w:rPr>
        <w:t>1.1 Тяговые аккумуляторные батареи электротранспорта как элемент электротехнического комплекса</w:t>
      </w:r>
    </w:p>
    <w:p w14:paraId="05F53ABE" w14:textId="68D07CE6" w:rsidR="005D4C07" w:rsidRDefault="005D4C07" w:rsidP="005D4C0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235FF3C" w14:textId="46CF6DD4" w:rsidR="005D4C07" w:rsidRPr="00AC2665" w:rsidRDefault="00C9288B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2665">
        <w:rPr>
          <w:rFonts w:ascii="Times New Roman" w:hAnsi="Times New Roman" w:cs="Times New Roman"/>
          <w:b/>
          <w:bCs/>
          <w:sz w:val="28"/>
          <w:szCs w:val="28"/>
        </w:rPr>
        <w:t>1.1.1 Роль аккумуляторной батареи в структуре электротранспортной системы</w:t>
      </w:r>
    </w:p>
    <w:p w14:paraId="2835695B" w14:textId="61AB92B7" w:rsidR="00C9288B" w:rsidRDefault="00E43C14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C14">
        <w:rPr>
          <w:rFonts w:ascii="Times New Roman" w:hAnsi="Times New Roman" w:cs="Times New Roman"/>
          <w:sz w:val="28"/>
          <w:szCs w:val="28"/>
        </w:rPr>
        <w:t>Современный электрический транспорт представляет собой сложный электротехнический комплекс, включающий систему накопления энергии, силовую электронику, тяговые электродвигатели и системы управления. Центральным элементом данной системы является тяговая аккумуляторная батарея (ТАБ), которая выполняет функцию основного источника энергии.</w:t>
      </w:r>
    </w:p>
    <w:p w14:paraId="22F702A4" w14:textId="0F923167" w:rsidR="00C81E17" w:rsidRDefault="00E43C14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C14">
        <w:rPr>
          <w:rFonts w:ascii="Times New Roman" w:hAnsi="Times New Roman" w:cs="Times New Roman"/>
          <w:sz w:val="28"/>
          <w:szCs w:val="28"/>
        </w:rPr>
        <w:t xml:space="preserve">С точки зрения системной инженерии электротранспортная система может быть представлена в виде взаимосвязанной структуры энергетических подсистем, в которой аккумуляторная батарея выполняет роль </w:t>
      </w:r>
      <w:r w:rsidRPr="00BF73BF">
        <w:rPr>
          <w:rFonts w:ascii="Times New Roman" w:hAnsi="Times New Roman" w:cs="Times New Roman"/>
          <w:sz w:val="28"/>
          <w:szCs w:val="28"/>
          <w:highlight w:val="yellow"/>
        </w:rPr>
        <w:t>первичного источника</w:t>
      </w:r>
      <w:r w:rsidRPr="00E43C14">
        <w:rPr>
          <w:rFonts w:ascii="Times New Roman" w:hAnsi="Times New Roman" w:cs="Times New Roman"/>
          <w:sz w:val="28"/>
          <w:szCs w:val="28"/>
        </w:rPr>
        <w:t xml:space="preserve"> электрической энергии.</w:t>
      </w:r>
    </w:p>
    <w:p w14:paraId="56D23797" w14:textId="573530E8" w:rsidR="00BF73BF" w:rsidRDefault="005A5465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465">
        <w:rPr>
          <w:rFonts w:ascii="Times New Roman" w:hAnsi="Times New Roman" w:cs="Times New Roman"/>
          <w:sz w:val="28"/>
          <w:szCs w:val="28"/>
        </w:rPr>
        <w:t>Ниже представлена упрощённая структурная схема энергетической системы электрического транспорта.</w:t>
      </w:r>
    </w:p>
    <w:p w14:paraId="4A0EBEA9" w14:textId="26AE9BB0" w:rsidR="005A5465" w:rsidRDefault="000B7C06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5E3DAE" wp14:editId="1DE4F931">
            <wp:extent cx="4714875" cy="3752850"/>
            <wp:effectExtent l="0" t="0" r="9525" b="0"/>
            <wp:docPr id="91912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73DA1" w14:textId="2F1ACE8D" w:rsidR="000B7C06" w:rsidRDefault="000B7C06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7C06">
        <w:rPr>
          <w:rFonts w:ascii="Times New Roman" w:hAnsi="Times New Roman" w:cs="Times New Roman"/>
          <w:sz w:val="28"/>
          <w:szCs w:val="28"/>
        </w:rPr>
        <w:lastRenderedPageBreak/>
        <w:t>Рисунок 1.1 — Структура энергетического контура электротранспортной системы, включающая тяговую аккумуляторную батарею, силовой преобразователь, тяговый электродвигатель и систему рекуперации энергии</w:t>
      </w:r>
    </w:p>
    <w:p w14:paraId="6364678A" w14:textId="1A8764E4" w:rsidR="000B7C06" w:rsidRDefault="003D3343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3343">
        <w:rPr>
          <w:rFonts w:ascii="Times New Roman" w:hAnsi="Times New Roman" w:cs="Times New Roman"/>
          <w:sz w:val="28"/>
          <w:szCs w:val="28"/>
        </w:rPr>
        <w:t>Аккумуляторная батарея является центральным элементом энергетической системы. Она взаимодействует с силовыми преобразовательными устройствами, которые обеспечивают преобразование постоянного напряжения батареи в переменное напряжение, необходимое для питания тяговых электродвигателей. В режиме рекуперации энергия торможения возвращается обратно в аккумуляторную систему.</w:t>
      </w:r>
    </w:p>
    <w:p w14:paraId="338896CF" w14:textId="445D7505" w:rsidR="00155F3E" w:rsidRPr="00D665BB" w:rsidRDefault="00155F3E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5BB">
        <w:rPr>
          <w:rFonts w:ascii="Times New Roman" w:hAnsi="Times New Roman" w:cs="Times New Roman"/>
          <w:b/>
          <w:bCs/>
          <w:sz w:val="28"/>
          <w:szCs w:val="28"/>
        </w:rPr>
        <w:t>1.1.2 Динамические режимы эксплуатации тяговых батарей</w:t>
      </w:r>
    </w:p>
    <w:p w14:paraId="6A1021E7" w14:textId="414FEA93" w:rsidR="00155F3E" w:rsidRDefault="004574AA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74AA">
        <w:rPr>
          <w:rFonts w:ascii="Times New Roman" w:hAnsi="Times New Roman" w:cs="Times New Roman"/>
          <w:sz w:val="28"/>
          <w:szCs w:val="28"/>
        </w:rPr>
        <w:t>Одной из ключевых особенностей тяговых аккумуляторных батарей является работа в условиях резко нестационарных нагрузок. В отличие от стационарных систем хранения энергии, батареи электротранспорта испытывают значительные колебания тока и мощности, связанные с режимами ускорения, торможения и движения транспортного средства.</w:t>
      </w:r>
    </w:p>
    <w:p w14:paraId="3CBB963D" w14:textId="26A0D529" w:rsidR="004574AA" w:rsidRDefault="004574AA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74AA">
        <w:rPr>
          <w:rFonts w:ascii="Times New Roman" w:hAnsi="Times New Roman" w:cs="Times New Roman"/>
          <w:sz w:val="28"/>
          <w:szCs w:val="28"/>
        </w:rPr>
        <w:t>Типичный профиль тяговой нагрузки представлен на рисунке ниже.</w:t>
      </w:r>
    </w:p>
    <w:p w14:paraId="6A099DF0" w14:textId="6644A18A" w:rsidR="004574AA" w:rsidRDefault="00174602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AE0C8C" wp14:editId="13A86A0B">
            <wp:extent cx="5335270" cy="4150360"/>
            <wp:effectExtent l="0" t="0" r="0" b="2540"/>
            <wp:docPr id="20885383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570E3" w14:textId="47B4DAA5" w:rsidR="00174602" w:rsidRDefault="00850128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0128">
        <w:rPr>
          <w:rFonts w:ascii="Times New Roman" w:hAnsi="Times New Roman" w:cs="Times New Roman"/>
          <w:sz w:val="28"/>
          <w:szCs w:val="28"/>
        </w:rPr>
        <w:t>Рисунок 1.2 — Пример динамического профиля тока тяговой аккумуляторной батареи, возникающего при движении электротранспортного средства</w:t>
      </w:r>
    </w:p>
    <w:p w14:paraId="1BB24ECE" w14:textId="19E2A1EB" w:rsidR="00850128" w:rsidRDefault="00077A4F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A4F">
        <w:rPr>
          <w:rFonts w:ascii="Times New Roman" w:hAnsi="Times New Roman" w:cs="Times New Roman"/>
          <w:sz w:val="28"/>
          <w:szCs w:val="28"/>
        </w:rPr>
        <w:lastRenderedPageBreak/>
        <w:t>Как видно из рисунка, ток батареи изменяется во времени и может включать как положительные (разряд), так и отрицательные (рекуперация) значения.</w:t>
      </w:r>
    </w:p>
    <w:p w14:paraId="53D417F2" w14:textId="7B176E6F" w:rsidR="00077A4F" w:rsidRDefault="00077A4F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A4F">
        <w:rPr>
          <w:rFonts w:ascii="Times New Roman" w:hAnsi="Times New Roman" w:cs="Times New Roman"/>
          <w:sz w:val="28"/>
          <w:szCs w:val="28"/>
        </w:rPr>
        <w:t>Нестационарный характер нагрузки можно описать функцией:</w:t>
      </w:r>
    </w:p>
    <w:p w14:paraId="7825D5C4" w14:textId="1DD96DCE" w:rsidR="00077A4F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09DB">
        <w:rPr>
          <w:rFonts w:ascii="Times New Roman" w:hAnsi="Times New Roman" w:cs="Times New Roman"/>
          <w:position w:val="-12"/>
          <w:sz w:val="28"/>
          <w:szCs w:val="28"/>
        </w:rPr>
        <w:object w:dxaOrig="1900" w:dyaOrig="360" w14:anchorId="5202B23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5.05pt;height:17.85pt" o:ole="">
            <v:imagedata r:id="rId8" o:title=""/>
          </v:shape>
          <o:OLEObject Type="Embed" ProgID="Equation.DSMT4" ShapeID="_x0000_i1025" DrawAspect="Content" ObjectID="_1834585488" r:id="rId9"/>
        </w:object>
      </w:r>
    </w:p>
    <w:p w14:paraId="3A890512" w14:textId="710FD918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7313FB0" w14:textId="20AB1B06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009D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9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тяговая составляющая тока;</w:t>
      </w:r>
    </w:p>
    <w:p w14:paraId="51AC174C" w14:textId="6FE7E0DC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009D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9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составляющая тока рекуперации.</w:t>
      </w:r>
    </w:p>
    <w:p w14:paraId="79FB2144" w14:textId="7BC695C1" w:rsidR="002009DB" w:rsidRDefault="00EF5F41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F41">
        <w:rPr>
          <w:rFonts w:ascii="Times New Roman" w:hAnsi="Times New Roman" w:cs="Times New Roman"/>
          <w:sz w:val="28"/>
          <w:szCs w:val="28"/>
        </w:rPr>
        <w:t>Динамический режим эксплуатации оказывает существенное влияние на процессы деградации аккумуляторной системы.</w:t>
      </w:r>
    </w:p>
    <w:p w14:paraId="29E7BCAF" w14:textId="77777777" w:rsidR="00EF5F41" w:rsidRDefault="00EF5F41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07CDE6" w14:textId="700D96D5" w:rsidR="00471B7F" w:rsidRPr="00471B7F" w:rsidRDefault="00471B7F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71B7F">
        <w:rPr>
          <w:rFonts w:ascii="Times New Roman" w:hAnsi="Times New Roman" w:cs="Times New Roman"/>
          <w:b/>
          <w:bCs/>
          <w:sz w:val="28"/>
          <w:szCs w:val="28"/>
        </w:rPr>
        <w:t>1.1.3 Электрохимическая природа аккумуляторных систем</w:t>
      </w:r>
    </w:p>
    <w:p w14:paraId="0EAE8E43" w14:textId="0AE6D57E" w:rsidR="00471B7F" w:rsidRDefault="00A85137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137">
        <w:rPr>
          <w:rFonts w:ascii="Times New Roman" w:hAnsi="Times New Roman" w:cs="Times New Roman"/>
          <w:sz w:val="28"/>
          <w:szCs w:val="28"/>
        </w:rPr>
        <w:t>Работа аккумуляторных батарей основана на электрохимических реакциях интеркаляции ионов лития или натрия в структуру электродных материалов.</w:t>
      </w:r>
    </w:p>
    <w:p w14:paraId="587E8950" w14:textId="3DB0247E" w:rsidR="006A42BC" w:rsidRDefault="006A42BC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2BC">
        <w:rPr>
          <w:rFonts w:ascii="Times New Roman" w:hAnsi="Times New Roman" w:cs="Times New Roman"/>
          <w:sz w:val="28"/>
          <w:szCs w:val="28"/>
        </w:rPr>
        <w:t>Фундаментальные процессы, определяющие работу аккумуляторов, описываются рядом физических законов:</w:t>
      </w:r>
    </w:p>
    <w:p w14:paraId="0A7C3D78" w14:textId="6F313352" w:rsidR="006A42BC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уравнение Нернста (термодинамика электрохимических систем)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575836E" w14:textId="4D8AC155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уравнение Батлера–Фольмера (кинетика электрохимических реакций)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D0D8128" w14:textId="5F27AD1F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законы диффузии Фика (массообмен)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1F1051E" w14:textId="102976E6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закон Аррениуса (температурная зависимость реакций)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C7EC59" w14:textId="375FFF18" w:rsidR="008213A9" w:rsidRDefault="008213A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Равновесный потенциал электрохимической системы определяется уравнением Нернста:</w:t>
      </w:r>
    </w:p>
    <w:p w14:paraId="7D66FBEE" w14:textId="24C5CC0D" w:rsidR="008213A9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51CB">
        <w:rPr>
          <w:rFonts w:ascii="Times New Roman" w:hAnsi="Times New Roman" w:cs="Times New Roman"/>
          <w:position w:val="-32"/>
          <w:sz w:val="28"/>
          <w:szCs w:val="28"/>
        </w:rPr>
        <w:object w:dxaOrig="2200" w:dyaOrig="760" w14:anchorId="3E4FB221">
          <v:shape id="_x0000_i1026" type="#_x0000_t75" style="width:110pt;height:38pt" o:ole="">
            <v:imagedata r:id="rId10" o:title=""/>
          </v:shape>
          <o:OLEObject Type="Embed" ProgID="Equation.DSMT4" ShapeID="_x0000_i1026" DrawAspect="Content" ObjectID="_1834585489" r:id="rId11"/>
        </w:object>
      </w:r>
    </w:p>
    <w:p w14:paraId="37D4261D" w14:textId="4249FB46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93CD299" w14:textId="6547B914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потенциал электрода;</w:t>
      </w:r>
    </w:p>
    <w:p w14:paraId="4D57CC2A" w14:textId="49AE7323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F0B51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0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стандартный потенциал;</w:t>
      </w:r>
    </w:p>
    <w:p w14:paraId="11A5A1F4" w14:textId="6CD07927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универсальная газовая постоянная;</w:t>
      </w:r>
    </w:p>
    <w:p w14:paraId="58645CBE" w14:textId="66B2B0C4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постоянная фарадея.</w:t>
      </w:r>
    </w:p>
    <w:p w14:paraId="62792888" w14:textId="77777777" w:rsidR="0070099F" w:rsidRDefault="0070099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F1D2D7" w14:textId="0A39B248" w:rsidR="00DE51CB" w:rsidRDefault="0070099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9F">
        <w:rPr>
          <w:rFonts w:ascii="Times New Roman" w:hAnsi="Times New Roman" w:cs="Times New Roman"/>
          <w:sz w:val="28"/>
          <w:szCs w:val="28"/>
        </w:rPr>
        <w:t>Данное уравнение выводится из фундаментального соотношения между электрическим и химическим потенциалами вещества:</w:t>
      </w:r>
    </w:p>
    <w:p w14:paraId="1B8BC392" w14:textId="778A3D61" w:rsidR="002012FD" w:rsidRDefault="0046742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7422">
        <w:rPr>
          <w:rFonts w:ascii="Times New Roman" w:hAnsi="Times New Roman" w:cs="Times New Roman"/>
          <w:position w:val="-10"/>
          <w:sz w:val="28"/>
          <w:szCs w:val="28"/>
        </w:rPr>
        <w:object w:dxaOrig="1780" w:dyaOrig="360" w14:anchorId="263288DF">
          <v:shape id="_x0000_i1027" type="#_x0000_t75" style="width:88.7pt;height:17.85pt" o:ole="">
            <v:imagedata r:id="rId12" o:title=""/>
          </v:shape>
          <o:OLEObject Type="Embed" ProgID="Equation.DSMT4" ShapeID="_x0000_i1027" DrawAspect="Content" ObjectID="_1834585490" r:id="rId13"/>
        </w:object>
      </w:r>
    </w:p>
    <w:p w14:paraId="78B3E309" w14:textId="06A0BB82" w:rsidR="00467422" w:rsidRP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927FE">
        <w:rPr>
          <w:rFonts w:ascii="Times New Roman" w:hAnsi="Times New Roman" w:cs="Times New Roman"/>
          <w:sz w:val="28"/>
          <w:szCs w:val="28"/>
          <w:highlight w:val="yellow"/>
        </w:rPr>
        <w:t>, где</w:t>
      </w:r>
    </w:p>
    <w:p w14:paraId="20197220" w14:textId="6F193741" w:rsidR="005927FE" w:rsidRP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µ</w:t>
      </w:r>
      <w:r w:rsidRPr="005927FE">
        <w:rPr>
          <w:rFonts w:ascii="Times New Roman" w:hAnsi="Times New Roman" w:cs="Times New Roman"/>
          <w:sz w:val="28"/>
          <w:szCs w:val="28"/>
          <w:highlight w:val="yellow"/>
        </w:rPr>
        <w:t xml:space="preserve"> - электрохимический потенциал иона (Дж/моль);</w:t>
      </w:r>
    </w:p>
    <w:p w14:paraId="375E10B4" w14:textId="07EB8A2B" w:rsid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µ</w:t>
      </w: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  <w:vertAlign w:val="superscript"/>
        </w:rPr>
        <w:t>0</w:t>
      </w:r>
      <w:r w:rsidRPr="005927FE">
        <w:rPr>
          <w:rFonts w:ascii="Times New Roman" w:hAnsi="Times New Roman" w:cs="Times New Roman"/>
          <w:sz w:val="28"/>
          <w:szCs w:val="28"/>
          <w:highlight w:val="yellow"/>
        </w:rPr>
        <w:t xml:space="preserve"> - химический потенциал иона (Дж/моль);</w:t>
      </w:r>
    </w:p>
    <w:p w14:paraId="5B7C99F1" w14:textId="1A199FE2" w:rsidR="005927FE" w:rsidRPr="007E6428" w:rsidRDefault="007E6428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642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1.1.4 Кинетика электрохимических процессов</w:t>
      </w:r>
    </w:p>
    <w:p w14:paraId="6D1D4E8F" w14:textId="77777777" w:rsidR="007E6428" w:rsidRDefault="007E642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05BA96" w14:textId="35506B17" w:rsidR="00F007EC" w:rsidRDefault="00F007EC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7EC">
        <w:rPr>
          <w:rFonts w:ascii="Times New Roman" w:hAnsi="Times New Roman" w:cs="Times New Roman"/>
          <w:sz w:val="28"/>
          <w:szCs w:val="28"/>
        </w:rPr>
        <w:t>Скорость электрохимических реакций на поверхности электродов описывается уравнением Батлера–Фольмера:</w:t>
      </w:r>
    </w:p>
    <w:p w14:paraId="317FD564" w14:textId="30D131E1" w:rsidR="00F007EC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5A42">
        <w:rPr>
          <w:rFonts w:ascii="Times New Roman" w:hAnsi="Times New Roman" w:cs="Times New Roman"/>
          <w:position w:val="-30"/>
          <w:sz w:val="28"/>
          <w:szCs w:val="28"/>
        </w:rPr>
        <w:object w:dxaOrig="3519" w:dyaOrig="720" w14:anchorId="3A660784">
          <v:shape id="_x0000_i1028" type="#_x0000_t75" style="width:175.7pt;height:36.3pt" o:ole="">
            <v:imagedata r:id="rId14" o:title=""/>
          </v:shape>
          <o:OLEObject Type="Embed" ProgID="Equation.DSMT4" ShapeID="_x0000_i1028" DrawAspect="Content" ObjectID="_1834585491" r:id="rId15"/>
        </w:object>
      </w:r>
    </w:p>
    <w:p w14:paraId="364B649B" w14:textId="0231E448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96A9BD" w14:textId="3B84EE6C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5A42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DB5A4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плотность тока реакции;</w:t>
      </w:r>
    </w:p>
    <w:p w14:paraId="322CE40B" w14:textId="6990FF0A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5A42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DB5A42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DB5A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F0B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обменный ток;</w:t>
      </w:r>
    </w:p>
    <w:p w14:paraId="41D1722E" w14:textId="4327E9F7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5A42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sz w:val="28"/>
          <w:szCs w:val="28"/>
        </w:rPr>
        <w:t xml:space="preserve"> – перенапряжение.</w:t>
      </w:r>
    </w:p>
    <w:p w14:paraId="6C51C23C" w14:textId="77777777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095D4E" w14:textId="21A65EDB" w:rsidR="005D2E55" w:rsidRDefault="005D2E5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2E55">
        <w:rPr>
          <w:rFonts w:ascii="Times New Roman" w:hAnsi="Times New Roman" w:cs="Times New Roman"/>
          <w:sz w:val="28"/>
          <w:szCs w:val="28"/>
        </w:rPr>
        <w:t>При малых значениях перенапряжения выполняется линеаризация уравнения:</w:t>
      </w:r>
    </w:p>
    <w:p w14:paraId="4C5050D0" w14:textId="6CC36C3F" w:rsidR="005D2E5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position w:val="-24"/>
          <w:sz w:val="28"/>
          <w:szCs w:val="28"/>
        </w:rPr>
        <w:object w:dxaOrig="900" w:dyaOrig="620" w14:anchorId="45FABDC7">
          <v:shape id="_x0000_i1029" type="#_x0000_t75" style="width:44.95pt;height:31.1pt" o:ole="">
            <v:imagedata r:id="rId16" o:title=""/>
          </v:shape>
          <o:OLEObject Type="Embed" ProgID="Equation.DSMT4" ShapeID="_x0000_i1029" DrawAspect="Content" ObjectID="_1834585492" r:id="rId17"/>
        </w:object>
      </w:r>
    </w:p>
    <w:p w14:paraId="065466AD" w14:textId="04E32DD8" w:rsidR="00512745" w:rsidRPr="000F0B51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745">
        <w:rPr>
          <w:rFonts w:ascii="Times New Roman" w:hAnsi="Times New Roman" w:cs="Times New Roman"/>
          <w:sz w:val="28"/>
          <w:szCs w:val="28"/>
        </w:rPr>
        <w:t>Из этого выражения можно получить сопротивление переноса заряда:</w:t>
      </w:r>
    </w:p>
    <w:p w14:paraId="0B15D2D7" w14:textId="31B10D72" w:rsidR="0051274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760" w:dyaOrig="620" w14:anchorId="61592C57">
          <v:shape id="_x0000_i1030" type="#_x0000_t75" style="width:38pt;height:31.1pt" o:ole="">
            <v:imagedata r:id="rId18" o:title=""/>
          </v:shape>
          <o:OLEObject Type="Embed" ProgID="Equation.DSMT4" ShapeID="_x0000_i1030" DrawAspect="Content" ObjectID="_1834585493" r:id="rId19"/>
        </w:object>
      </w:r>
    </w:p>
    <w:p w14:paraId="5115B96D" w14:textId="28784426" w:rsidR="0051274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sz w:val="28"/>
          <w:szCs w:val="28"/>
        </w:rPr>
        <w:t>Подставляя предыдущее выражение:</w:t>
      </w:r>
    </w:p>
    <w:p w14:paraId="214ECC91" w14:textId="04F1E720" w:rsidR="00512745" w:rsidRDefault="00C24B7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4B73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400FF05">
          <v:shape id="_x0000_i1031" type="#_x0000_t75" style="width:48.4pt;height:34pt" o:ole="">
            <v:imagedata r:id="rId20" o:title=""/>
          </v:shape>
          <o:OLEObject Type="Embed" ProgID="Equation.DSMT4" ShapeID="_x0000_i1031" DrawAspect="Content" ObjectID="_1834585494" r:id="rId21"/>
        </w:object>
      </w:r>
    </w:p>
    <w:p w14:paraId="5D742575" w14:textId="17709028" w:rsidR="00C24B73" w:rsidRPr="000F0B51" w:rsidRDefault="00C24B7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B73">
        <w:rPr>
          <w:rFonts w:ascii="Times New Roman" w:hAnsi="Times New Roman" w:cs="Times New Roman"/>
          <w:sz w:val="28"/>
          <w:szCs w:val="28"/>
        </w:rPr>
        <w:t>Это фундаментальный результат электрохимической кинетики, который широко используется при анализе импеданса аккумуляторных систем.</w:t>
      </w:r>
    </w:p>
    <w:p w14:paraId="35C2A463" w14:textId="77777777" w:rsidR="00497B04" w:rsidRPr="000F0B51" w:rsidRDefault="00497B04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1315EF" w14:textId="7A4818BE" w:rsidR="00497B04" w:rsidRPr="000B165D" w:rsidRDefault="00501F42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165D">
        <w:rPr>
          <w:rFonts w:ascii="Times New Roman" w:hAnsi="Times New Roman" w:cs="Times New Roman"/>
          <w:b/>
          <w:bCs/>
          <w:sz w:val="28"/>
          <w:szCs w:val="28"/>
        </w:rPr>
        <w:t xml:space="preserve">1.1.5 </w:t>
      </w:r>
      <w:r w:rsidR="001E604D" w:rsidRPr="000B165D">
        <w:rPr>
          <w:rFonts w:ascii="Times New Roman" w:hAnsi="Times New Roman" w:cs="Times New Roman"/>
          <w:b/>
          <w:bCs/>
          <w:sz w:val="28"/>
          <w:szCs w:val="28"/>
        </w:rPr>
        <w:t>Диффузионные процессы в аккумуляторных системах</w:t>
      </w:r>
    </w:p>
    <w:p w14:paraId="46F35E6F" w14:textId="77777777" w:rsidR="001E604D" w:rsidRDefault="001E604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3BF961" w14:textId="5E5594CE" w:rsidR="0032011F" w:rsidRDefault="000B165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65D">
        <w:rPr>
          <w:rFonts w:ascii="Times New Roman" w:hAnsi="Times New Roman" w:cs="Times New Roman"/>
          <w:sz w:val="28"/>
          <w:szCs w:val="28"/>
        </w:rPr>
        <w:t>Перенос ионов лития внутри электродных материалов определяется законами диффузии Фика.</w:t>
      </w:r>
      <w:r w:rsidR="0032011F">
        <w:rPr>
          <w:rFonts w:ascii="Times New Roman" w:hAnsi="Times New Roman" w:cs="Times New Roman"/>
          <w:sz w:val="28"/>
          <w:szCs w:val="28"/>
        </w:rPr>
        <w:t xml:space="preserve"> </w:t>
      </w:r>
      <w:r w:rsidR="0032011F" w:rsidRPr="0032011F">
        <w:rPr>
          <w:rFonts w:ascii="Times New Roman" w:hAnsi="Times New Roman" w:cs="Times New Roman"/>
          <w:sz w:val="28"/>
          <w:szCs w:val="28"/>
        </w:rPr>
        <w:t>Второй закон Фика имеет вид:</w:t>
      </w:r>
    </w:p>
    <w:p w14:paraId="20E8C48B" w14:textId="7A6167CD" w:rsidR="0032011F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6676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6E050575">
          <v:shape id="_x0000_i1032" type="#_x0000_t75" style="width:63.95pt;height:33.4pt" o:ole="">
            <v:imagedata r:id="rId22" o:title=""/>
          </v:shape>
          <o:OLEObject Type="Embed" ProgID="Equation.DSMT4" ShapeID="_x0000_i1032" DrawAspect="Content" ObjectID="_1834585495" r:id="rId23"/>
        </w:object>
      </w:r>
    </w:p>
    <w:p w14:paraId="4E032B02" w14:textId="7EEDB6D0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926E6B4" w14:textId="758AE819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676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концентрация ионов;</w:t>
      </w:r>
    </w:p>
    <w:p w14:paraId="5AA03B8C" w14:textId="7D306F70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676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диффузии.</w:t>
      </w:r>
    </w:p>
    <w:p w14:paraId="3BF32ADF" w14:textId="77777777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B12E13" w14:textId="2E1205B3" w:rsidR="0086638F" w:rsidRDefault="0086638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638F">
        <w:rPr>
          <w:rFonts w:ascii="Times New Roman" w:hAnsi="Times New Roman" w:cs="Times New Roman"/>
          <w:sz w:val="28"/>
          <w:szCs w:val="28"/>
        </w:rPr>
        <w:t>Решение этого уравнения для гармонического воздействия приводит к появлению так называемого импеданса Варбурга:</w:t>
      </w:r>
    </w:p>
    <w:p w14:paraId="1ADE30D2" w14:textId="458F4789" w:rsidR="0086638F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240A">
        <w:rPr>
          <w:rFonts w:ascii="Times New Roman" w:hAnsi="Times New Roman" w:cs="Times New Roman"/>
          <w:position w:val="-32"/>
          <w:sz w:val="28"/>
          <w:szCs w:val="28"/>
        </w:rPr>
        <w:object w:dxaOrig="1420" w:dyaOrig="700" w14:anchorId="4A8A63AB">
          <v:shape id="_x0000_i1033" type="#_x0000_t75" style="width:70.85pt;height:35.15pt" o:ole="">
            <v:imagedata r:id="rId24" o:title=""/>
          </v:shape>
          <o:OLEObject Type="Embed" ProgID="Equation.DSMT4" ShapeID="_x0000_i1033" DrawAspect="Content" ObjectID="_1834585496" r:id="rId25"/>
        </w:object>
      </w:r>
    </w:p>
    <w:p w14:paraId="3C69FCD3" w14:textId="52B17F3B" w:rsidR="0086240A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3A62FDE" w14:textId="0CAF54D5" w:rsidR="0086240A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40A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2D197682" w14:textId="77777777" w:rsidR="0086240A" w:rsidRPr="000F0B51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ED75D8" w14:textId="73FEEC83" w:rsidR="0086240A" w:rsidRPr="000F0B51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40A">
        <w:rPr>
          <w:rFonts w:ascii="Times New Roman" w:hAnsi="Times New Roman" w:cs="Times New Roman"/>
          <w:sz w:val="28"/>
          <w:szCs w:val="28"/>
        </w:rPr>
        <w:lastRenderedPageBreak/>
        <w:t>Данный импеданс проявляется в виде характерного наклонного участка на диаграмме Найквиста.</w:t>
      </w:r>
    </w:p>
    <w:p w14:paraId="2CBEBE09" w14:textId="77777777" w:rsidR="00BF5DE4" w:rsidRPr="000F0B51" w:rsidRDefault="00BF5DE4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A42AC" w14:textId="0535D938" w:rsidR="00BF5DE4" w:rsidRPr="00573A97" w:rsidRDefault="00573A97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A97">
        <w:rPr>
          <w:rFonts w:ascii="Times New Roman" w:hAnsi="Times New Roman" w:cs="Times New Roman"/>
          <w:b/>
          <w:bCs/>
          <w:sz w:val="28"/>
          <w:szCs w:val="28"/>
        </w:rPr>
        <w:t>1.1.6 Тепловые процессы и деградация батарей</w:t>
      </w:r>
    </w:p>
    <w:p w14:paraId="51C36126" w14:textId="77777777" w:rsidR="00573A97" w:rsidRDefault="00573A97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46421A" w14:textId="5780B48E" w:rsidR="00573A97" w:rsidRDefault="0052493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4935">
        <w:rPr>
          <w:rFonts w:ascii="Times New Roman" w:hAnsi="Times New Roman" w:cs="Times New Roman"/>
          <w:sz w:val="28"/>
          <w:szCs w:val="28"/>
        </w:rPr>
        <w:t>Температура играет ключевую роль в деградации аккумуляторных систем. Скорость большинства химических реакций определяется законом Аррениуса:</w:t>
      </w:r>
    </w:p>
    <w:p w14:paraId="074FAF14" w14:textId="4F34BB66" w:rsidR="00524935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2F13">
        <w:rPr>
          <w:rFonts w:ascii="Times New Roman" w:hAnsi="Times New Roman" w:cs="Times New Roman"/>
          <w:position w:val="-28"/>
          <w:sz w:val="28"/>
          <w:szCs w:val="28"/>
        </w:rPr>
        <w:object w:dxaOrig="2079" w:dyaOrig="680" w14:anchorId="2E290427">
          <v:shape id="_x0000_i1034" type="#_x0000_t75" style="width:103.7pt;height:34pt" o:ole="">
            <v:imagedata r:id="rId26" o:title=""/>
          </v:shape>
          <o:OLEObject Type="Embed" ProgID="Equation.DSMT4" ShapeID="_x0000_i1034" DrawAspect="Content" ObjectID="_1834585497" r:id="rId27"/>
        </w:object>
      </w:r>
    </w:p>
    <w:p w14:paraId="474AB472" w14:textId="7D1CF880" w:rsidR="000A2F13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30D5E83" w14:textId="46BF254F" w:rsidR="000A2F13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2F13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0F0B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скорость реакции;</w:t>
      </w:r>
    </w:p>
    <w:p w14:paraId="6225C23C" w14:textId="156CE309" w:rsidR="000A2F13" w:rsidRPr="000F0B51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2F13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A2F1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– энергия активации</w:t>
      </w:r>
      <w:r w:rsidR="00254809">
        <w:rPr>
          <w:rFonts w:ascii="Times New Roman" w:hAnsi="Times New Roman" w:cs="Times New Roman"/>
          <w:sz w:val="28"/>
          <w:szCs w:val="28"/>
        </w:rPr>
        <w:t xml:space="preserve"> </w:t>
      </w:r>
      <w:r w:rsidR="00254809" w:rsidRPr="00254809">
        <w:rPr>
          <w:rFonts w:ascii="Times New Roman" w:hAnsi="Times New Roman" w:cs="Times New Roman"/>
          <w:sz w:val="28"/>
          <w:szCs w:val="28"/>
        </w:rPr>
        <w:t>[Дж/моль]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5E9A59" w14:textId="77777777" w:rsidR="00724268" w:rsidRPr="000F0B51" w:rsidRDefault="0072426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40ADC3" w14:textId="680F73B9" w:rsidR="00724268" w:rsidRDefault="007F61D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1DE">
        <w:rPr>
          <w:rFonts w:ascii="Times New Roman" w:hAnsi="Times New Roman" w:cs="Times New Roman"/>
          <w:sz w:val="28"/>
          <w:szCs w:val="28"/>
        </w:rPr>
        <w:t>С ростом температуры скорость деградационных процессов резко увеличивается.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F61DE">
        <w:rPr>
          <w:rFonts w:ascii="Times New Roman" w:hAnsi="Times New Roman" w:cs="Times New Roman"/>
          <w:sz w:val="28"/>
          <w:szCs w:val="28"/>
        </w:rPr>
        <w:t>Тепловыделение батареи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8D42273" w14:textId="182BC15C" w:rsidR="007F61DE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7A4F">
        <w:rPr>
          <w:rFonts w:ascii="Times New Roman" w:hAnsi="Times New Roman" w:cs="Times New Roman"/>
          <w:position w:val="-12"/>
          <w:sz w:val="28"/>
          <w:szCs w:val="28"/>
        </w:rPr>
        <w:object w:dxaOrig="980" w:dyaOrig="380" w14:anchorId="1A18B4E8">
          <v:shape id="_x0000_i1035" type="#_x0000_t75" style="width:48.95pt;height:19pt" o:ole="">
            <v:imagedata r:id="rId28" o:title=""/>
          </v:shape>
          <o:OLEObject Type="Embed" ProgID="Equation.DSMT4" ShapeID="_x0000_i1035" DrawAspect="Content" ObjectID="_1834585498" r:id="rId29"/>
        </w:object>
      </w:r>
    </w:p>
    <w:p w14:paraId="2AD9C989" w14:textId="7E5142C6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 где</w:t>
      </w:r>
    </w:p>
    <w:p w14:paraId="3A8CC20F" w14:textId="578F1363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7A4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07A4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</w:rPr>
        <w:t xml:space="preserve"> – внутреннее сопротивление батареи.</w:t>
      </w:r>
    </w:p>
    <w:p w14:paraId="208DCC1C" w14:textId="77777777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D42061" w14:textId="6ACB9031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B9A">
        <w:rPr>
          <w:rFonts w:ascii="Times New Roman" w:hAnsi="Times New Roman" w:cs="Times New Roman"/>
          <w:sz w:val="28"/>
          <w:szCs w:val="28"/>
        </w:rPr>
        <w:t>Рост сопротивления приводит к увеличению тепловыделения и ускорению деградации материалов.</w:t>
      </w:r>
    </w:p>
    <w:p w14:paraId="64B196F4" w14:textId="77777777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A7D515" w14:textId="7D4DA352" w:rsidR="00EF2B9A" w:rsidRP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B9A">
        <w:rPr>
          <w:rFonts w:ascii="Times New Roman" w:hAnsi="Times New Roman" w:cs="Times New Roman"/>
          <w:b/>
          <w:bCs/>
          <w:sz w:val="28"/>
          <w:szCs w:val="28"/>
        </w:rPr>
        <w:t>Вывод  по разделу 1.1</w:t>
      </w:r>
    </w:p>
    <w:p w14:paraId="0134681A" w14:textId="77777777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DAC4C0" w14:textId="4B5BEE05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B9A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представляет собой сложную электрохимическую систему, поведение которой определяется взаимодействием электрических, химических и тепловых процессов. Нестационарный характер эксплуатации электротранспортных систем существенно усложняет анализ деградации аккумуляторных батарей и требует разработки новых методов диагностики и прогнозирования их ресурса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F68D08" w14:textId="77777777" w:rsidR="000F0B51" w:rsidRDefault="000F0B51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D9A32B" w14:textId="2E094284" w:rsidR="000F0B51" w:rsidRPr="004679FD" w:rsidRDefault="000F0B51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79FD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Li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LFP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Na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035E354A" w14:textId="77777777" w:rsidR="004679FD" w:rsidRDefault="004679F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71DE7E" w14:textId="68C4F48F" w:rsidR="004679FD" w:rsidRPr="00D8547A" w:rsidRDefault="00D8547A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547A">
        <w:rPr>
          <w:rFonts w:ascii="Times New Roman" w:hAnsi="Times New Roman" w:cs="Times New Roman"/>
          <w:b/>
          <w:bCs/>
          <w:sz w:val="28"/>
          <w:szCs w:val="28"/>
        </w:rPr>
        <w:t>1.2.1 Общая природа деградации электрохимических накопителей энергии</w:t>
      </w:r>
    </w:p>
    <w:p w14:paraId="4806C6FB" w14:textId="77777777" w:rsidR="00D8547A" w:rsidRDefault="00D8547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E5B05A" w14:textId="6A18163B" w:rsidR="00D8547A" w:rsidRDefault="0031522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5223">
        <w:rPr>
          <w:rFonts w:ascii="Times New Roman" w:hAnsi="Times New Roman" w:cs="Times New Roman"/>
          <w:sz w:val="28"/>
          <w:szCs w:val="28"/>
        </w:rPr>
        <w:t>Деградация аккумуляторных батарей представляет собой совокупность необратимых физико</w:t>
      </w:r>
      <w:r w:rsidR="00445268">
        <w:rPr>
          <w:rFonts w:ascii="Times New Roman" w:hAnsi="Times New Roman" w:cs="Times New Roman"/>
          <w:sz w:val="28"/>
          <w:szCs w:val="28"/>
        </w:rPr>
        <w:t>-</w:t>
      </w:r>
      <w:r w:rsidRPr="00315223">
        <w:rPr>
          <w:rFonts w:ascii="Times New Roman" w:hAnsi="Times New Roman" w:cs="Times New Roman"/>
          <w:sz w:val="28"/>
          <w:szCs w:val="28"/>
        </w:rPr>
        <w:t xml:space="preserve">химических процессов, приводящих к снижению ёмкости, росту внутреннего сопротивления и ухудшению энергетических характеристик системы. Эти процессы происходят на различных масштабных уровнях — от </w:t>
      </w:r>
      <w:r w:rsidRPr="00315223">
        <w:rPr>
          <w:rFonts w:ascii="Times New Roman" w:hAnsi="Times New Roman" w:cs="Times New Roman"/>
          <w:sz w:val="28"/>
          <w:szCs w:val="28"/>
        </w:rPr>
        <w:lastRenderedPageBreak/>
        <w:t>атомарных изменений кристаллической структуры электродных материалов до макроскопических эффектов, связанных с механическим разрушением электродных частиц и деградацией электролита.</w:t>
      </w:r>
    </w:p>
    <w:p w14:paraId="21CD5C6A" w14:textId="3B56906A" w:rsidR="0017157F" w:rsidRDefault="0017157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157F">
        <w:rPr>
          <w:rFonts w:ascii="Times New Roman" w:hAnsi="Times New Roman" w:cs="Times New Roman"/>
          <w:sz w:val="28"/>
          <w:szCs w:val="28"/>
        </w:rPr>
        <w:t>С фундаментальной точки зрения деградация аккумуляторов может рассматриваться как результат нарушения равновесия между электрохимическими реакциями и процессами переноса вещества. В основе этих процессов лежат законы термодинамики, электрохимической кинетики и диффузии.</w:t>
      </w:r>
    </w:p>
    <w:p w14:paraId="0D43248D" w14:textId="31C4086C" w:rsidR="0077032D" w:rsidRDefault="0077032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032D">
        <w:rPr>
          <w:rFonts w:ascii="Times New Roman" w:hAnsi="Times New Roman" w:cs="Times New Roman"/>
          <w:sz w:val="28"/>
          <w:szCs w:val="28"/>
        </w:rPr>
        <w:t>Согласно классической электрохимической теории, скорость электрохимической реакции определяется уравнением Батлера–Фольмера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9D2826D" w14:textId="175DA676" w:rsidR="0077032D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6D78">
        <w:rPr>
          <w:rFonts w:ascii="Times New Roman" w:hAnsi="Times New Roman" w:cs="Times New Roman"/>
          <w:position w:val="-30"/>
          <w:sz w:val="28"/>
          <w:szCs w:val="28"/>
        </w:rPr>
        <w:object w:dxaOrig="3519" w:dyaOrig="720" w14:anchorId="635F3D41">
          <v:shape id="_x0000_i1038" type="#_x0000_t75" style="width:175.7pt;height:36.3pt" o:ole="">
            <v:imagedata r:id="rId30" o:title=""/>
          </v:shape>
          <o:OLEObject Type="Embed" ProgID="Equation.DSMT4" ShapeID="_x0000_i1038" DrawAspect="Content" ObjectID="_1834585499" r:id="rId31"/>
        </w:object>
      </w:r>
    </w:p>
    <w:p w14:paraId="3B255623" w14:textId="77777777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4EBF0664" w14:textId="6BFBEE3D" w:rsidR="000A6D78" w:rsidRP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0A6D7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0</w:t>
      </w:r>
      <w:r w:rsidRPr="000A6D78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0A6D78">
        <w:rPr>
          <w:rFonts w:ascii="Times New Roman" w:hAnsi="Times New Roman" w:cs="Times New Roman"/>
          <w:sz w:val="28"/>
          <w:szCs w:val="28"/>
        </w:rPr>
        <w:t>обменный ток реакции;</w:t>
      </w:r>
    </w:p>
    <w:p w14:paraId="133E67EA" w14:textId="29DEC0D4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sz w:val="28"/>
          <w:szCs w:val="28"/>
        </w:rPr>
        <w:t xml:space="preserve"> – перенапряжение;</w:t>
      </w:r>
    </w:p>
    <w:p w14:paraId="28EF9D9C" w14:textId="461E545C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0A6D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постоянная Фарадея;</w:t>
      </w:r>
    </w:p>
    <w:p w14:paraId="07CC8FDE" w14:textId="35C693E2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A6D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универсальная газовая постоянная.</w:t>
      </w:r>
    </w:p>
    <w:p w14:paraId="6B2590D3" w14:textId="77777777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811B44" w14:textId="2D10DCB4" w:rsidR="009C28A7" w:rsidRDefault="009C28A7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8A7">
        <w:rPr>
          <w:rFonts w:ascii="Times New Roman" w:hAnsi="Times New Roman" w:cs="Times New Roman"/>
          <w:sz w:val="28"/>
          <w:szCs w:val="28"/>
        </w:rPr>
        <w:t>Деградация электродных материалов приводит к уменьшению активной поверхности реакции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eff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C28A7">
        <w:rPr>
          <w:rFonts w:ascii="Times New Roman" w:hAnsi="Times New Roman" w:cs="Times New Roman"/>
          <w:sz w:val="28"/>
          <w:szCs w:val="28"/>
        </w:rPr>
        <w:t>что, в свою очередь, снижает обменный ток:</w:t>
      </w:r>
    </w:p>
    <w:p w14:paraId="7F563AB9" w14:textId="7C702024" w:rsidR="009C28A7" w:rsidRDefault="007B533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533D">
        <w:rPr>
          <w:rFonts w:ascii="Times New Roman" w:hAnsi="Times New Roman" w:cs="Times New Roman"/>
          <w:position w:val="-14"/>
          <w:sz w:val="28"/>
          <w:szCs w:val="28"/>
        </w:rPr>
        <w:object w:dxaOrig="820" w:dyaOrig="380" w14:anchorId="4C509BBF">
          <v:shape id="_x0000_i1041" type="#_x0000_t75" style="width:40.9pt;height:19pt" o:ole="">
            <v:imagedata r:id="rId32" o:title=""/>
          </v:shape>
          <o:OLEObject Type="Embed" ProgID="Equation.DSMT4" ShapeID="_x0000_i1041" DrawAspect="Content" ObjectID="_1834585500" r:id="rId33"/>
        </w:object>
      </w:r>
    </w:p>
    <w:p w14:paraId="044E50DC" w14:textId="7B88B7CB" w:rsidR="007B533D" w:rsidRDefault="007B533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533D">
        <w:rPr>
          <w:rFonts w:ascii="Times New Roman" w:hAnsi="Times New Roman" w:cs="Times New Roman"/>
          <w:sz w:val="28"/>
          <w:szCs w:val="28"/>
        </w:rPr>
        <w:t>Следовательно, уменьшение активной поверхности приводит к росту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EEA9106" w14:textId="732D8E50" w:rsidR="007B533D" w:rsidRDefault="00B25F10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25F1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9E6B722">
          <v:shape id="_x0000_i1044" type="#_x0000_t75" style="width:47.8pt;height:34pt" o:ole="">
            <v:imagedata r:id="rId34" o:title=""/>
          </v:shape>
          <o:OLEObject Type="Embed" ProgID="Equation.DSMT4" ShapeID="_x0000_i1044" DrawAspect="Content" ObjectID="_1834585501" r:id="rId35"/>
        </w:object>
      </w:r>
    </w:p>
    <w:p w14:paraId="297BFEA9" w14:textId="13EF3488" w:rsidR="00B25F10" w:rsidRPr="00E40289" w:rsidRDefault="00B25F10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5F10">
        <w:rPr>
          <w:rFonts w:ascii="Times New Roman" w:hAnsi="Times New Roman" w:cs="Times New Roman"/>
          <w:sz w:val="28"/>
          <w:szCs w:val="28"/>
        </w:rPr>
        <w:t>Этот фундаментальный результат объясняет, почему увеличение сопротивления является одним из ключевых индикаторов деградации аккумуляторных систем.</w:t>
      </w:r>
    </w:p>
    <w:p w14:paraId="099733C2" w14:textId="77777777" w:rsid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3C46D9" w14:textId="2B8577AE" w:rsidR="00E40289" w:rsidRP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40289">
        <w:rPr>
          <w:rFonts w:ascii="Times New Roman" w:hAnsi="Times New Roman" w:cs="Times New Roman"/>
          <w:b/>
          <w:bCs/>
          <w:sz w:val="28"/>
          <w:szCs w:val="28"/>
        </w:rPr>
        <w:t xml:space="preserve">1.2.2 Основные механизмы деградации </w:t>
      </w:r>
      <w:r w:rsidRPr="00E40289">
        <w:rPr>
          <w:rFonts w:ascii="Times New Roman" w:hAnsi="Times New Roman" w:cs="Times New Roman"/>
          <w:b/>
          <w:bCs/>
          <w:sz w:val="28"/>
          <w:szCs w:val="28"/>
          <w:lang w:val="en-US"/>
        </w:rPr>
        <w:t>Li</w:t>
      </w:r>
      <w:r w:rsidRPr="00E40289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40289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Pr="00E40289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аккумуляторов</w:t>
      </w:r>
    </w:p>
    <w:p w14:paraId="3C9ED10D" w14:textId="77777777" w:rsid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F4E48D" w14:textId="3E8420BF" w:rsidR="00E40289" w:rsidRDefault="000C121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Современные литий-ионные аккумуляторы характеризуются высокой энергетической плотностью, однако они подвержены нескольким основным механизмам деградации.</w:t>
      </w:r>
    </w:p>
    <w:p w14:paraId="691176A0" w14:textId="752EF4DA" w:rsidR="000C121E" w:rsidRDefault="000C121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Наиболее важными из них являются:</w:t>
      </w:r>
    </w:p>
    <w:p w14:paraId="61DF7F51" w14:textId="127B0B90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образование пассивирующего слоя SEI;</w:t>
      </w:r>
    </w:p>
    <w:p w14:paraId="255329A2" w14:textId="263BF90B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потеря активного лития;</w:t>
      </w:r>
    </w:p>
    <w:p w14:paraId="06C5EC1F" w14:textId="516513C6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деградация структуры катодных материалов;</w:t>
      </w:r>
    </w:p>
    <w:p w14:paraId="3F369D0C" w14:textId="15F3AA5F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рост внутреннего сопротивления.</w:t>
      </w:r>
    </w:p>
    <w:p w14:paraId="13D2192B" w14:textId="37E4F60B" w:rsidR="000C121E" w:rsidRDefault="000C121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Эти процессы взаимосвязаны и развиваются параллельно в процессе эксплуатации батареи.</w:t>
      </w:r>
    </w:p>
    <w:p w14:paraId="5AD92B00" w14:textId="393F36F6" w:rsidR="000C121E" w:rsidRDefault="00E47F1A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7F1A">
        <w:rPr>
          <w:rFonts w:ascii="Times New Roman" w:hAnsi="Times New Roman" w:cs="Times New Roman"/>
          <w:sz w:val="28"/>
          <w:szCs w:val="28"/>
        </w:rPr>
        <w:lastRenderedPageBreak/>
        <w:t>Ниже приведена типичная зависимость деградации ёмкости для различных химических систем аккумуляторов.</w:t>
      </w:r>
    </w:p>
    <w:p w14:paraId="21021942" w14:textId="2C2ABFC2" w:rsidR="00E47F1A" w:rsidRDefault="0027372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FC5715" wp14:editId="4AB2D28F">
            <wp:extent cx="5230495" cy="4147820"/>
            <wp:effectExtent l="0" t="0" r="8255" b="5080"/>
            <wp:docPr id="2459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53B3C" w14:textId="5548373C" w:rsidR="0027372E" w:rsidRDefault="0027372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7372E">
        <w:rPr>
          <w:rFonts w:ascii="Times New Roman" w:hAnsi="Times New Roman" w:cs="Times New Roman"/>
          <w:sz w:val="28"/>
          <w:szCs w:val="28"/>
        </w:rPr>
        <w:t>Рисунок 1.3 — Сравнение типичных зависимостей снижения ёмкости аккумуляторов различных химических систем (NMC, LFP и Na-ion) от числа циклов заряд-разряд.</w:t>
      </w:r>
    </w:p>
    <w:p w14:paraId="5669DFC8" w14:textId="77777777" w:rsidR="00A93BF3" w:rsidRPr="00A93BF3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DAA32D" w14:textId="526FE190" w:rsidR="0027372E" w:rsidRDefault="00E55AA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AAD">
        <w:rPr>
          <w:rFonts w:ascii="Times New Roman" w:hAnsi="Times New Roman" w:cs="Times New Roman"/>
          <w:sz w:val="28"/>
          <w:szCs w:val="28"/>
        </w:rPr>
        <w:t>Как видно из рисунка, различные химические системы характеризуются различной устойчивостью к деградации. Литий-железо-фосфатные аккумуляторы (LFP) обладают более высокой циклической стабильностью по сравнению с системами на основе никель-марганец кобальтовых катодов (NMC). Натрий-ионные аккумуляторы, находящиеся на стадии активного развития, демонстрируют более быстрые темпы деградации.</w:t>
      </w:r>
    </w:p>
    <w:p w14:paraId="29E3CE3B" w14:textId="77777777" w:rsidR="00943042" w:rsidRDefault="00943042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46273C" w14:textId="659093D1" w:rsidR="00943042" w:rsidRPr="00C14788" w:rsidRDefault="00177515" w:rsidP="000C121E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788">
        <w:rPr>
          <w:rFonts w:ascii="Times New Roman" w:hAnsi="Times New Roman" w:cs="Times New Roman"/>
          <w:b/>
          <w:bCs/>
          <w:sz w:val="28"/>
          <w:szCs w:val="28"/>
        </w:rPr>
        <w:t xml:space="preserve">1.2.3 Формирование пассивирующего слоя </w:t>
      </w:r>
      <w:r w:rsidRPr="00C14788">
        <w:rPr>
          <w:rFonts w:ascii="Times New Roman" w:hAnsi="Times New Roman" w:cs="Times New Roman"/>
          <w:b/>
          <w:bCs/>
          <w:sz w:val="28"/>
          <w:szCs w:val="28"/>
          <w:lang w:val="en-US"/>
        </w:rPr>
        <w:t>SEI</w:t>
      </w:r>
    </w:p>
    <w:p w14:paraId="33489C5B" w14:textId="77777777" w:rsidR="00177515" w:rsidRDefault="00177515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53E906" w14:textId="190DC9C1" w:rsidR="00177515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BF3">
        <w:rPr>
          <w:rFonts w:ascii="Times New Roman" w:hAnsi="Times New Roman" w:cs="Times New Roman"/>
          <w:sz w:val="28"/>
          <w:szCs w:val="28"/>
        </w:rPr>
        <w:t>Одним из ключевых механизмов деградации литий-ионных аккумуляторов является образование пассивирующего слоя SEI (Solid Electrolyte Interphase) на поверхности анода.</w:t>
      </w:r>
    </w:p>
    <w:p w14:paraId="4360B601" w14:textId="7FECE9A0" w:rsidR="00A93BF3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BF3">
        <w:rPr>
          <w:rFonts w:ascii="Times New Roman" w:hAnsi="Times New Roman" w:cs="Times New Roman"/>
          <w:sz w:val="28"/>
          <w:szCs w:val="28"/>
        </w:rPr>
        <w:lastRenderedPageBreak/>
        <w:t>SEI-слой формируется в результате восстановления компонентов электролита при потенциалах ниже стабильности электролита. Этот процесс приводит к образованию тонкой пассивирующей плёнки, которая пропускает ионы лития, но препятствует дальнейшему разложению электролита.</w:t>
      </w:r>
    </w:p>
    <w:p w14:paraId="06C0EC62" w14:textId="1E1F87C9" w:rsidR="0008344E" w:rsidRDefault="0008344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344E">
        <w:rPr>
          <w:rFonts w:ascii="Times New Roman" w:hAnsi="Times New Roman" w:cs="Times New Roman"/>
          <w:sz w:val="28"/>
          <w:szCs w:val="28"/>
        </w:rPr>
        <w:t>Рост SEI-слоя можно описать диффузионной моделью. Согласно второму закону Фика:</w:t>
      </w:r>
    </w:p>
    <w:p w14:paraId="69F67215" w14:textId="0FF14B05" w:rsidR="0008344E" w:rsidRDefault="00DE2D69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2D69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280" w:dyaOrig="660" w14:anchorId="494929C6">
          <v:shape id="_x0000_i1049" type="#_x0000_t75" style="width:63.95pt;height:32.85pt" o:ole="">
            <v:imagedata r:id="rId37" o:title=""/>
          </v:shape>
          <o:OLEObject Type="Embed" ProgID="Equation.DSMT4" ShapeID="_x0000_i1049" DrawAspect="Content" ObjectID="_1834585502" r:id="rId38"/>
        </w:object>
      </w:r>
    </w:p>
    <w:p w14:paraId="0A3EEBAC" w14:textId="44B64A93" w:rsidR="00DE2D69" w:rsidRPr="00B17271" w:rsidRDefault="00DE2D69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2D69">
        <w:rPr>
          <w:rFonts w:ascii="Times New Roman" w:hAnsi="Times New Roman" w:cs="Times New Roman"/>
          <w:sz w:val="28"/>
          <w:szCs w:val="28"/>
        </w:rPr>
        <w:t>Решение данного уравнения для диффузионно-ограниченного процесса приводит к зависимости толщины слоя от времени</w:t>
      </w:r>
      <w:r w:rsidR="00B17271">
        <w:rPr>
          <w:rFonts w:ascii="Times New Roman" w:hAnsi="Times New Roman" w:cs="Times New Roman"/>
          <w:sz w:val="28"/>
          <w:szCs w:val="28"/>
        </w:rPr>
        <w:t>:</w:t>
      </w:r>
    </w:p>
    <w:p w14:paraId="7520A405" w14:textId="107BD5F9" w:rsidR="00B17271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347D">
        <w:rPr>
          <w:rFonts w:ascii="Times New Roman" w:hAnsi="Times New Roman" w:cs="Times New Roman"/>
          <w:position w:val="-12"/>
          <w:sz w:val="28"/>
          <w:szCs w:val="28"/>
        </w:rPr>
        <w:object w:dxaOrig="960" w:dyaOrig="400" w14:anchorId="6DC388F9">
          <v:shape id="_x0000_i1052" type="#_x0000_t75" style="width:47.8pt;height:20.15pt" o:ole="">
            <v:imagedata r:id="rId39" o:title=""/>
          </v:shape>
          <o:OLEObject Type="Embed" ProgID="Equation.DSMT4" ShapeID="_x0000_i1052" DrawAspect="Content" ObjectID="_1834585503" r:id="rId40"/>
        </w:object>
      </w:r>
    </w:p>
    <w:p w14:paraId="340936D0" w14:textId="5875B0AA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31594EE" w14:textId="77777777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δ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SEI</w:t>
      </w:r>
      <w:r>
        <w:rPr>
          <w:rFonts w:ascii="Times New Roman" w:hAnsi="Times New Roman" w:cs="Times New Roman"/>
          <w:sz w:val="28"/>
          <w:szCs w:val="28"/>
        </w:rPr>
        <w:t xml:space="preserve"> – толщина пассивирующего слоя.</w:t>
      </w:r>
    </w:p>
    <w:p w14:paraId="541FE38F" w14:textId="51CB4DBA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47D">
        <w:rPr>
          <w:rFonts w:ascii="Times New Roman" w:hAnsi="Times New Roman" w:cs="Times New Roman"/>
          <w:sz w:val="28"/>
          <w:szCs w:val="28"/>
        </w:rPr>
        <w:t>Экспериментально наблюдаемая зависимость роста SEI-слоя представлена на рисунке ниже.</w:t>
      </w:r>
    </w:p>
    <w:p w14:paraId="47BF38DA" w14:textId="40649416" w:rsidR="00A4347D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D75130" wp14:editId="20737373">
            <wp:extent cx="5186680" cy="4147820"/>
            <wp:effectExtent l="0" t="0" r="0" b="5080"/>
            <wp:docPr id="1153158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668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1553" w14:textId="11E9B32A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E73">
        <w:rPr>
          <w:rFonts w:ascii="Times New Roman" w:hAnsi="Times New Roman" w:cs="Times New Roman"/>
          <w:sz w:val="28"/>
          <w:szCs w:val="28"/>
        </w:rPr>
        <w:t>Рисунок 1.4 — Диффузионно-контролируемый рост пассивирующего слоя SEI на поверхности анода</w:t>
      </w:r>
    </w:p>
    <w:p w14:paraId="67FD9F43" w14:textId="77777777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C3BEB9" w14:textId="62D16450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E73">
        <w:rPr>
          <w:rFonts w:ascii="Times New Roman" w:hAnsi="Times New Roman" w:cs="Times New Roman"/>
          <w:sz w:val="28"/>
          <w:szCs w:val="28"/>
        </w:rPr>
        <w:lastRenderedPageBreak/>
        <w:t>Рост SEI-слоя приводит к потреблению активного лития и снижению ёмкости аккумулятора.</w:t>
      </w:r>
    </w:p>
    <w:p w14:paraId="5FB32F06" w14:textId="77777777" w:rsidR="007D6ABB" w:rsidRDefault="007D6ABB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D83985" w14:textId="294E8DEC" w:rsidR="007D6ABB" w:rsidRPr="007D6ABB" w:rsidRDefault="007D6ABB" w:rsidP="000C121E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6ABB">
        <w:rPr>
          <w:rFonts w:ascii="Times New Roman" w:hAnsi="Times New Roman" w:cs="Times New Roman"/>
          <w:b/>
          <w:bCs/>
          <w:sz w:val="28"/>
          <w:szCs w:val="28"/>
        </w:rPr>
        <w:t>1.2.4 Рост внутреннего сопротивления аккумулятора</w:t>
      </w:r>
    </w:p>
    <w:p w14:paraId="435FEB88" w14:textId="77777777" w:rsidR="007D6ABB" w:rsidRDefault="007D6ABB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E4529E" w14:textId="246C1805" w:rsidR="007D6ABB" w:rsidRDefault="009E75A0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В процессе деградации аккумуляторных систем наблюдается увеличение внутреннего сопротивления. Этот процесс обусловлен несколькими факторами:</w:t>
      </w:r>
    </w:p>
    <w:p w14:paraId="60D1BF58" w14:textId="37B418EA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увеличением толщины SEI-слоя;</w:t>
      </w:r>
    </w:p>
    <w:p w14:paraId="2C329C10" w14:textId="144E4795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деградацией электродных материалов;</w:t>
      </w:r>
    </w:p>
    <w:p w14:paraId="30554AB2" w14:textId="3871C992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снижением проводимости электролита;</w:t>
      </w:r>
    </w:p>
    <w:p w14:paraId="00EC63B2" w14:textId="59DD1DA0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ухудшением контактов между частицами активного материала.</w:t>
      </w:r>
    </w:p>
    <w:p w14:paraId="350B7C23" w14:textId="720AFEC4" w:rsidR="009E75A0" w:rsidRDefault="008F7D95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7D95">
        <w:rPr>
          <w:rFonts w:ascii="Times New Roman" w:hAnsi="Times New Roman" w:cs="Times New Roman"/>
          <w:sz w:val="28"/>
          <w:szCs w:val="28"/>
        </w:rPr>
        <w:t>Рост внутреннего сопротивления можно описать эмпирической зависимостью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CC843B4" w14:textId="42F16C65" w:rsidR="008F7D95" w:rsidRDefault="00141C5D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C5D">
        <w:rPr>
          <w:rFonts w:ascii="Times New Roman" w:hAnsi="Times New Roman" w:cs="Times New Roman"/>
          <w:position w:val="-12"/>
          <w:sz w:val="28"/>
          <w:szCs w:val="28"/>
        </w:rPr>
        <w:object w:dxaOrig="2620" w:dyaOrig="380" w14:anchorId="3C47ABD6">
          <v:shape id="_x0000_i1059" type="#_x0000_t75" style="width:130.75pt;height:19pt" o:ole="">
            <v:imagedata r:id="rId42" o:title=""/>
          </v:shape>
          <o:OLEObject Type="Embed" ProgID="Equation.DSMT4" ShapeID="_x0000_i1059" DrawAspect="Content" ObjectID="_1834585504" r:id="rId43"/>
        </w:object>
      </w:r>
    </w:p>
    <w:p w14:paraId="4D252873" w14:textId="3FF19EF8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006748E" w14:textId="4B38EA3A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 – </w:t>
      </w:r>
      <w:r>
        <w:rPr>
          <w:rFonts w:ascii="Times New Roman" w:hAnsi="Times New Roman" w:cs="Times New Roman"/>
          <w:sz w:val="28"/>
          <w:szCs w:val="28"/>
        </w:rPr>
        <w:t>число циклов эксплуатации.</w:t>
      </w:r>
    </w:p>
    <w:p w14:paraId="4ED3D99C" w14:textId="1F602AEA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4DAA">
        <w:rPr>
          <w:rFonts w:ascii="Times New Roman" w:hAnsi="Times New Roman" w:cs="Times New Roman"/>
          <w:sz w:val="28"/>
          <w:szCs w:val="28"/>
        </w:rPr>
        <w:t>Экспериментальная зависимость роста сопротивления представлена на рисунке ниже.</w:t>
      </w:r>
    </w:p>
    <w:p w14:paraId="10709880" w14:textId="5A0CBAE7" w:rsidR="00BF4DAA" w:rsidRDefault="00BD0DCC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CB9A30" wp14:editId="47955F8D">
            <wp:extent cx="5266690" cy="4147820"/>
            <wp:effectExtent l="0" t="0" r="0" b="5080"/>
            <wp:docPr id="2788291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E8047" w14:textId="66D0F7FF" w:rsidR="00BD0DCC" w:rsidRDefault="00BD0DC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D0DCC">
        <w:rPr>
          <w:rFonts w:ascii="Times New Roman" w:hAnsi="Times New Roman" w:cs="Times New Roman"/>
          <w:sz w:val="28"/>
          <w:szCs w:val="28"/>
        </w:rPr>
        <w:t>Рисунок 1.5 — Типичная зависимость внутреннего сопротивления аккумуляторной батареи</w:t>
      </w:r>
      <w:r w:rsidRPr="00BD0DCC">
        <w:rPr>
          <w:rFonts w:ascii="Times New Roman" w:hAnsi="Times New Roman" w:cs="Times New Roman"/>
          <w:sz w:val="28"/>
          <w:szCs w:val="28"/>
        </w:rPr>
        <w:t xml:space="preserve"> </w:t>
      </w:r>
      <w:r w:rsidRPr="00BD0DCC">
        <w:rPr>
          <w:rFonts w:ascii="Times New Roman" w:hAnsi="Times New Roman" w:cs="Times New Roman"/>
          <w:sz w:val="28"/>
          <w:szCs w:val="28"/>
        </w:rPr>
        <w:t>от числа циклов эксплуатации</w:t>
      </w:r>
    </w:p>
    <w:p w14:paraId="5B75CD9C" w14:textId="77777777" w:rsidR="00BD0DCC" w:rsidRDefault="00BD0DC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D5D692" w14:textId="1DF897E1" w:rsidR="00BD0DC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6C9C">
        <w:rPr>
          <w:rFonts w:ascii="Times New Roman" w:hAnsi="Times New Roman" w:cs="Times New Roman"/>
          <w:sz w:val="28"/>
          <w:szCs w:val="28"/>
        </w:rPr>
        <w:t>Рост сопротивления приводит к увеличению тепловыделения:</w:t>
      </w:r>
    </w:p>
    <w:p w14:paraId="16F47FEB" w14:textId="22F52ED3" w:rsidR="00546C9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6C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80" w14:anchorId="4EA70160">
          <v:shape id="_x0000_i1064" type="#_x0000_t75" style="width:48.95pt;height:19pt" o:ole="">
            <v:imagedata r:id="rId45" o:title=""/>
          </v:shape>
          <o:OLEObject Type="Embed" ProgID="Equation.DSMT4" ShapeID="_x0000_i1064" DrawAspect="Content" ObjectID="_1834585505" r:id="rId46"/>
        </w:object>
      </w:r>
    </w:p>
    <w:p w14:paraId="5A2FB939" w14:textId="18A4FA7D" w:rsidR="00546C9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что ускоряет деградацию батареи.</w:t>
      </w:r>
    </w:p>
    <w:p w14:paraId="2A83ACC2" w14:textId="77777777" w:rsidR="007B5B3A" w:rsidRDefault="007B5B3A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728E60" w14:textId="52A2543A" w:rsidR="007B5B3A" w:rsidRPr="00E37122" w:rsidRDefault="00E37122" w:rsidP="00BD0DCC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1.2.5 Особенности деградации 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LFP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Na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 систем</w:t>
      </w:r>
    </w:p>
    <w:p w14:paraId="0B21C4DF" w14:textId="77777777" w:rsidR="00E37122" w:rsidRDefault="00E37122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7D233D" w14:textId="0E198EF7" w:rsidR="00E37122" w:rsidRDefault="00CB41BA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41BA">
        <w:rPr>
          <w:rFonts w:ascii="Times New Roman" w:hAnsi="Times New Roman" w:cs="Times New Roman"/>
          <w:sz w:val="28"/>
          <w:szCs w:val="28"/>
        </w:rPr>
        <w:t xml:space="preserve">Аккумуляторы </w:t>
      </w:r>
      <w:r>
        <w:rPr>
          <w:rFonts w:ascii="Times New Roman" w:hAnsi="Times New Roman" w:cs="Times New Roman"/>
          <w:sz w:val="28"/>
          <w:szCs w:val="28"/>
          <w:lang w:val="en-US"/>
        </w:rPr>
        <w:t>LPF</w:t>
      </w:r>
      <w:r w:rsidRPr="00CB41BA">
        <w:rPr>
          <w:rFonts w:ascii="Times New Roman" w:hAnsi="Times New Roman" w:cs="Times New Roman"/>
          <w:sz w:val="28"/>
          <w:szCs w:val="28"/>
        </w:rPr>
        <w:t xml:space="preserve"> </w:t>
      </w:r>
      <w:r w:rsidRPr="00CB41BA">
        <w:rPr>
          <w:rFonts w:ascii="Times New Roman" w:hAnsi="Times New Roman" w:cs="Times New Roman"/>
          <w:sz w:val="28"/>
          <w:szCs w:val="28"/>
        </w:rPr>
        <w:t>на основе LiFePO₄ обладают более стабильной кристаллической структурой по сравнению с системами NMC. Это связано с оливиновой структурой материала, которая обеспечивает высокую термическую стабильность и устойчивость к деградации.</w:t>
      </w:r>
    </w:p>
    <w:p w14:paraId="454F033C" w14:textId="62D1D5F5" w:rsidR="008E44D5" w:rsidRDefault="008E44D5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4D5">
        <w:rPr>
          <w:rFonts w:ascii="Times New Roman" w:hAnsi="Times New Roman" w:cs="Times New Roman"/>
          <w:sz w:val="28"/>
          <w:szCs w:val="28"/>
        </w:rPr>
        <w:t>Основным механизмом деградации LFP-аккумуляторов является рост внутреннего сопротивления и постепенное ухудшение диффузии лития.</w:t>
      </w:r>
    </w:p>
    <w:p w14:paraId="07C26BE3" w14:textId="10C8F6E7" w:rsidR="006A4B28" w:rsidRDefault="006A4B28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4B28">
        <w:rPr>
          <w:rFonts w:ascii="Times New Roman" w:hAnsi="Times New Roman" w:cs="Times New Roman"/>
          <w:sz w:val="28"/>
          <w:szCs w:val="28"/>
        </w:rPr>
        <w:t>Для натрий-ионных аккумуляторов характерны следующие механизмы деградации:</w:t>
      </w:r>
    </w:p>
    <w:p w14:paraId="6D3C248C" w14:textId="39F9D3D1" w:rsid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4B28">
        <w:rPr>
          <w:rFonts w:ascii="Times New Roman" w:hAnsi="Times New Roman" w:cs="Times New Roman"/>
          <w:sz w:val="28"/>
          <w:szCs w:val="28"/>
          <w:lang w:val="en-US"/>
        </w:rPr>
        <w:lastRenderedPageBreak/>
        <w:t>нестабильность SEI-слоя;</w:t>
      </w:r>
    </w:p>
    <w:p w14:paraId="37AF2C75" w14:textId="59CFA6B6" w:rsidR="006A4B28" w:rsidRP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более медленная диффузия ионов натрия;</w:t>
      </w:r>
    </w:p>
    <w:p w14:paraId="07047EF3" w14:textId="659CA30D" w:rsidR="006A4B28" w:rsidRP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деградация катодных материалов.</w:t>
      </w:r>
    </w:p>
    <w:p w14:paraId="7DF4C965" w14:textId="77777777" w:rsidR="006002CF" w:rsidRDefault="006002CF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CA2D2" w14:textId="3904887C" w:rsidR="006A4B28" w:rsidRDefault="006002CF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002CF">
        <w:rPr>
          <w:rFonts w:ascii="Times New Roman" w:hAnsi="Times New Roman" w:cs="Times New Roman"/>
          <w:sz w:val="28"/>
          <w:szCs w:val="28"/>
        </w:rPr>
        <w:t>Из-за большего радиуса ионов натрия диффузионные процессы в Na-ion аккумуляторах протекают медленнее, что приводит к более высоким значениям импеданса.</w:t>
      </w:r>
    </w:p>
    <w:p w14:paraId="6C0CDE8F" w14:textId="77777777" w:rsidR="00315077" w:rsidRDefault="00315077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7EE9A6" w14:textId="6575AB8B" w:rsidR="00315077" w:rsidRPr="00DC1CDB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C1CDB">
        <w:rPr>
          <w:rFonts w:ascii="Times New Roman" w:hAnsi="Times New Roman" w:cs="Times New Roman"/>
          <w:b/>
          <w:bCs/>
          <w:sz w:val="28"/>
          <w:szCs w:val="28"/>
        </w:rPr>
        <w:t>Вывод по разделу 1.2</w:t>
      </w:r>
    </w:p>
    <w:p w14:paraId="61B67D66" w14:textId="77777777" w:rsidR="00DC1CDB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B4257C" w14:textId="6A5EB2BE" w:rsidR="00DC1CDB" w:rsidRPr="00DC1CDB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CDB">
        <w:rPr>
          <w:rFonts w:ascii="Times New Roman" w:hAnsi="Times New Roman" w:cs="Times New Roman"/>
          <w:sz w:val="28"/>
          <w:szCs w:val="28"/>
        </w:rPr>
        <w:t>Анализ механизмов деградации аккумуляторных систем показывает, что основными факторами, определяющими снижение их ресурса, являются рост пассивирующего слоя SEI, потеря активного лития и увеличение внутреннего сопротивления. Эти процессы непосредственно отражаются в изменении импедансных характеристик аккумуляторной системы, что делает электрохимическую импедансную спектроскопию одним из наиболее перспективных методов диагностики состояния аккумуляторов</w:t>
      </w:r>
      <w:r>
        <w:rPr>
          <w:rFonts w:ascii="Times New Roman" w:hAnsi="Times New Roman" w:cs="Times New Roman"/>
          <w:sz w:val="28"/>
          <w:szCs w:val="28"/>
        </w:rPr>
        <w:t>.</w:t>
      </w:r>
    </w:p>
    <w:sectPr w:rsidR="00DC1CDB" w:rsidRPr="00DC1CDB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D6C4B"/>
    <w:multiLevelType w:val="hybridMultilevel"/>
    <w:tmpl w:val="9400670E"/>
    <w:lvl w:ilvl="0" w:tplc="F0048C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AA044DB"/>
    <w:multiLevelType w:val="hybridMultilevel"/>
    <w:tmpl w:val="9EF80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E8480C"/>
    <w:multiLevelType w:val="hybridMultilevel"/>
    <w:tmpl w:val="7A8A8C32"/>
    <w:lvl w:ilvl="0" w:tplc="CBDE7C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7"/>
  </w:num>
  <w:num w:numId="3" w16cid:durableId="1173373436">
    <w:abstractNumId w:val="3"/>
  </w:num>
  <w:num w:numId="4" w16cid:durableId="266350250">
    <w:abstractNumId w:val="2"/>
  </w:num>
  <w:num w:numId="5" w16cid:durableId="1895386371">
    <w:abstractNumId w:val="4"/>
  </w:num>
  <w:num w:numId="6" w16cid:durableId="1867982396">
    <w:abstractNumId w:val="8"/>
  </w:num>
  <w:num w:numId="7" w16cid:durableId="863178132">
    <w:abstractNumId w:val="5"/>
  </w:num>
  <w:num w:numId="8" w16cid:durableId="290209504">
    <w:abstractNumId w:val="9"/>
  </w:num>
  <w:num w:numId="9" w16cid:durableId="993487525">
    <w:abstractNumId w:val="0"/>
  </w:num>
  <w:num w:numId="10" w16cid:durableId="4143961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21643"/>
    <w:rsid w:val="00061A05"/>
    <w:rsid w:val="00077A4F"/>
    <w:rsid w:val="0008344E"/>
    <w:rsid w:val="000A004B"/>
    <w:rsid w:val="000A2F13"/>
    <w:rsid w:val="000A6D78"/>
    <w:rsid w:val="000B165D"/>
    <w:rsid w:val="000B7C06"/>
    <w:rsid w:val="000C121E"/>
    <w:rsid w:val="000F0B51"/>
    <w:rsid w:val="00107A4F"/>
    <w:rsid w:val="00110D50"/>
    <w:rsid w:val="001304D0"/>
    <w:rsid w:val="00141C5D"/>
    <w:rsid w:val="00141ED6"/>
    <w:rsid w:val="00155F3E"/>
    <w:rsid w:val="001602D9"/>
    <w:rsid w:val="0017157F"/>
    <w:rsid w:val="00174602"/>
    <w:rsid w:val="001759E4"/>
    <w:rsid w:val="00177515"/>
    <w:rsid w:val="001E604D"/>
    <w:rsid w:val="001F0927"/>
    <w:rsid w:val="002009DB"/>
    <w:rsid w:val="002012FD"/>
    <w:rsid w:val="002139A3"/>
    <w:rsid w:val="0021675A"/>
    <w:rsid w:val="00222920"/>
    <w:rsid w:val="00254809"/>
    <w:rsid w:val="0027372E"/>
    <w:rsid w:val="0028792F"/>
    <w:rsid w:val="002B1F3B"/>
    <w:rsid w:val="002C7B6C"/>
    <w:rsid w:val="002D4A79"/>
    <w:rsid w:val="002F2C01"/>
    <w:rsid w:val="00315077"/>
    <w:rsid w:val="00315223"/>
    <w:rsid w:val="0032011F"/>
    <w:rsid w:val="00320211"/>
    <w:rsid w:val="00356877"/>
    <w:rsid w:val="003906B2"/>
    <w:rsid w:val="003B7B25"/>
    <w:rsid w:val="003D3343"/>
    <w:rsid w:val="004015C2"/>
    <w:rsid w:val="00417535"/>
    <w:rsid w:val="00417A3C"/>
    <w:rsid w:val="00445268"/>
    <w:rsid w:val="004574AA"/>
    <w:rsid w:val="00462264"/>
    <w:rsid w:val="00467422"/>
    <w:rsid w:val="004679FD"/>
    <w:rsid w:val="00471B7F"/>
    <w:rsid w:val="00474A30"/>
    <w:rsid w:val="00497B04"/>
    <w:rsid w:val="004B5BBF"/>
    <w:rsid w:val="004C1E0B"/>
    <w:rsid w:val="004D7061"/>
    <w:rsid w:val="004E73D4"/>
    <w:rsid w:val="00501F42"/>
    <w:rsid w:val="00507907"/>
    <w:rsid w:val="00512745"/>
    <w:rsid w:val="00524935"/>
    <w:rsid w:val="00541074"/>
    <w:rsid w:val="00546C9C"/>
    <w:rsid w:val="00573A97"/>
    <w:rsid w:val="005815A9"/>
    <w:rsid w:val="005927FE"/>
    <w:rsid w:val="005A5465"/>
    <w:rsid w:val="005C227D"/>
    <w:rsid w:val="005D2E55"/>
    <w:rsid w:val="005D32F1"/>
    <w:rsid w:val="005D4C07"/>
    <w:rsid w:val="005D61EC"/>
    <w:rsid w:val="006002CF"/>
    <w:rsid w:val="006159CC"/>
    <w:rsid w:val="00622012"/>
    <w:rsid w:val="006270BF"/>
    <w:rsid w:val="006408A7"/>
    <w:rsid w:val="00654960"/>
    <w:rsid w:val="00690F2A"/>
    <w:rsid w:val="006A42BC"/>
    <w:rsid w:val="006A4B28"/>
    <w:rsid w:val="006D6B85"/>
    <w:rsid w:val="006E4AB9"/>
    <w:rsid w:val="006F49B8"/>
    <w:rsid w:val="0070099F"/>
    <w:rsid w:val="007066E1"/>
    <w:rsid w:val="007111AC"/>
    <w:rsid w:val="00724268"/>
    <w:rsid w:val="007435B7"/>
    <w:rsid w:val="0077032D"/>
    <w:rsid w:val="007B533D"/>
    <w:rsid w:val="007B5B3A"/>
    <w:rsid w:val="007C7DAD"/>
    <w:rsid w:val="007D6ABB"/>
    <w:rsid w:val="007E1114"/>
    <w:rsid w:val="007E6428"/>
    <w:rsid w:val="007F61DE"/>
    <w:rsid w:val="008213A9"/>
    <w:rsid w:val="008262A5"/>
    <w:rsid w:val="00850128"/>
    <w:rsid w:val="00854645"/>
    <w:rsid w:val="0086240A"/>
    <w:rsid w:val="0086638F"/>
    <w:rsid w:val="0087489C"/>
    <w:rsid w:val="008776EE"/>
    <w:rsid w:val="008815CB"/>
    <w:rsid w:val="008C72D1"/>
    <w:rsid w:val="008D0ABF"/>
    <w:rsid w:val="008E4359"/>
    <w:rsid w:val="008E44D5"/>
    <w:rsid w:val="008E4D68"/>
    <w:rsid w:val="008F7D95"/>
    <w:rsid w:val="00914F21"/>
    <w:rsid w:val="00927FAB"/>
    <w:rsid w:val="00943042"/>
    <w:rsid w:val="00960CFC"/>
    <w:rsid w:val="009862F4"/>
    <w:rsid w:val="00993ACA"/>
    <w:rsid w:val="009B5CC0"/>
    <w:rsid w:val="009C28A7"/>
    <w:rsid w:val="009E2D0F"/>
    <w:rsid w:val="009E75A0"/>
    <w:rsid w:val="00A01B55"/>
    <w:rsid w:val="00A41681"/>
    <w:rsid w:val="00A4347D"/>
    <w:rsid w:val="00A64406"/>
    <w:rsid w:val="00A678C9"/>
    <w:rsid w:val="00A84028"/>
    <w:rsid w:val="00A849C1"/>
    <w:rsid w:val="00A85137"/>
    <w:rsid w:val="00A93BF3"/>
    <w:rsid w:val="00AC2665"/>
    <w:rsid w:val="00AC37DB"/>
    <w:rsid w:val="00AC57A6"/>
    <w:rsid w:val="00B154A1"/>
    <w:rsid w:val="00B16676"/>
    <w:rsid w:val="00B17271"/>
    <w:rsid w:val="00B25F10"/>
    <w:rsid w:val="00BD0DCC"/>
    <w:rsid w:val="00BD111B"/>
    <w:rsid w:val="00BF4DAA"/>
    <w:rsid w:val="00BF5DE4"/>
    <w:rsid w:val="00BF73BF"/>
    <w:rsid w:val="00C005C8"/>
    <w:rsid w:val="00C14788"/>
    <w:rsid w:val="00C24B73"/>
    <w:rsid w:val="00C321F5"/>
    <w:rsid w:val="00C614AC"/>
    <w:rsid w:val="00C615C9"/>
    <w:rsid w:val="00C81E17"/>
    <w:rsid w:val="00C81F23"/>
    <w:rsid w:val="00C9288B"/>
    <w:rsid w:val="00C94C2C"/>
    <w:rsid w:val="00CA4E73"/>
    <w:rsid w:val="00CB41BA"/>
    <w:rsid w:val="00CE3413"/>
    <w:rsid w:val="00D048A9"/>
    <w:rsid w:val="00D11DDA"/>
    <w:rsid w:val="00D20D67"/>
    <w:rsid w:val="00D544EB"/>
    <w:rsid w:val="00D54A84"/>
    <w:rsid w:val="00D665BB"/>
    <w:rsid w:val="00D8547A"/>
    <w:rsid w:val="00D87456"/>
    <w:rsid w:val="00DB5A42"/>
    <w:rsid w:val="00DC1CDB"/>
    <w:rsid w:val="00DE1452"/>
    <w:rsid w:val="00DE2D69"/>
    <w:rsid w:val="00DE51CB"/>
    <w:rsid w:val="00DE763F"/>
    <w:rsid w:val="00DF1117"/>
    <w:rsid w:val="00E37122"/>
    <w:rsid w:val="00E40289"/>
    <w:rsid w:val="00E43C14"/>
    <w:rsid w:val="00E47F1A"/>
    <w:rsid w:val="00E5270D"/>
    <w:rsid w:val="00E55AAD"/>
    <w:rsid w:val="00E844DC"/>
    <w:rsid w:val="00E92F2E"/>
    <w:rsid w:val="00EE37F5"/>
    <w:rsid w:val="00EF2B9A"/>
    <w:rsid w:val="00EF5F41"/>
    <w:rsid w:val="00F007EC"/>
    <w:rsid w:val="00F0482E"/>
    <w:rsid w:val="00F3389B"/>
    <w:rsid w:val="00F4518D"/>
    <w:rsid w:val="00F50231"/>
    <w:rsid w:val="00F86185"/>
    <w:rsid w:val="00FB514F"/>
    <w:rsid w:val="00FB5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927F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927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3.bin"/><Relationship Id="rId18" Type="http://schemas.openxmlformats.org/officeDocument/2006/relationships/image" Target="media/image8.wmf"/><Relationship Id="rId26" Type="http://schemas.openxmlformats.org/officeDocument/2006/relationships/image" Target="media/image12.wmf"/><Relationship Id="rId39" Type="http://schemas.openxmlformats.org/officeDocument/2006/relationships/image" Target="media/image19.w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34" Type="http://schemas.openxmlformats.org/officeDocument/2006/relationships/image" Target="media/image16.wmf"/><Relationship Id="rId42" Type="http://schemas.openxmlformats.org/officeDocument/2006/relationships/image" Target="media/image21.wmf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5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8.bin"/><Relationship Id="rId2" Type="http://schemas.openxmlformats.org/officeDocument/2006/relationships/numbering" Target="numbering.xml"/><Relationship Id="rId16" Type="http://schemas.openxmlformats.org/officeDocument/2006/relationships/image" Target="media/image7.wmf"/><Relationship Id="rId20" Type="http://schemas.openxmlformats.org/officeDocument/2006/relationships/image" Target="media/image9.wmf"/><Relationship Id="rId29" Type="http://schemas.openxmlformats.org/officeDocument/2006/relationships/oleObject" Target="embeddings/oleObject11.bin"/><Relationship Id="rId41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oleObject" Target="embeddings/oleObject2.bin"/><Relationship Id="rId24" Type="http://schemas.openxmlformats.org/officeDocument/2006/relationships/image" Target="media/image11.wmf"/><Relationship Id="rId32" Type="http://schemas.openxmlformats.org/officeDocument/2006/relationships/image" Target="media/image15.wmf"/><Relationship Id="rId37" Type="http://schemas.openxmlformats.org/officeDocument/2006/relationships/image" Target="media/image18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3.wmf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3.wmf"/><Relationship Id="rId36" Type="http://schemas.openxmlformats.org/officeDocument/2006/relationships/image" Target="media/image17.png"/><Relationship Id="rId10" Type="http://schemas.openxmlformats.org/officeDocument/2006/relationships/image" Target="media/image4.wmf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2.bin"/><Relationship Id="rId44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4.w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7.bin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11</Pages>
  <Words>1703</Words>
  <Characters>9710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180</cp:revision>
  <dcterms:created xsi:type="dcterms:W3CDTF">2026-03-08T09:35:00Z</dcterms:created>
  <dcterms:modified xsi:type="dcterms:W3CDTF">2026-03-09T11:08:00Z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