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Nome: Giulio</w:t>
        <w:tab/>
        <w:t xml:space="preserve"> Cognome: Tognetto</w:t>
        <w:tab/>
        <w:tab/>
        <w:tab/>
        <w:tab/>
        <w:tab/>
        <w:t xml:space="preserve">Classe: 2° </w:t>
        <w:tab/>
        <w:t xml:space="preserve">Sez: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gruppo con:</w:t>
        <w:tab/>
        <w:t xml:space="preserve">""</w:t>
        <w:tab/>
        <w:tab/>
        <w:tab/>
        <w:tab/>
        <w:tab/>
        <w:t xml:space="preserve">Gruppo n. 3</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Titolo della prova:</w:t>
      </w:r>
      <w:r>
        <w:rPr>
          <w:rFonts w:ascii="Calibri" w:hAnsi="Calibri" w:cs="Calibri" w:eastAsia="Calibri"/>
          <w:color w:val="auto"/>
          <w:spacing w:val="0"/>
          <w:position w:val="0"/>
          <w:sz w:val="24"/>
          <w:shd w:fill="auto" w:val="clear"/>
        </w:rPr>
        <w:t xml:space="preserve"> Titolazione (Analisi quantitativa volumetrica)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Scopo/obbiettivo della prova: </w:t>
      </w:r>
      <w:r>
        <w:rPr>
          <w:rFonts w:ascii="Calibri" w:hAnsi="Calibri" w:cs="Calibri" w:eastAsia="Calibri"/>
          <w:color w:val="auto"/>
          <w:spacing w:val="0"/>
          <w:position w:val="0"/>
          <w:sz w:val="24"/>
          <w:shd w:fill="auto" w:val="clear"/>
        </w:rPr>
        <w:t xml:space="preserve">Determinazione della concentrazione di NaOH con HCl 0,1 molare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Presupposti teorici:</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Titolazione: </w:t>
      </w:r>
      <w:r>
        <w:rPr>
          <w:rFonts w:ascii="Calibri" w:hAnsi="Calibri" w:cs="Calibri" w:eastAsia="Calibri"/>
          <w:i/>
          <w:color w:val="auto"/>
          <w:spacing w:val="0"/>
          <w:position w:val="0"/>
          <w:sz w:val="24"/>
          <w:shd w:fill="auto" w:val="clear"/>
        </w:rPr>
        <w:t xml:space="preserve">tecnica per determinare l’esatta contentrazione (molarita’) di una soluzione utilizzando un’altra soluzione a concentrazione nota, esse reagiscono in modo stecchiometrico secondo una reazione ben definita.</w:t>
      </w:r>
    </w:p>
    <w:p>
      <w:pPr>
        <w:spacing w:before="0" w:after="160" w:line="259"/>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La titolazione e’ un’analisi quantitativa volumetrica, “Titolo” in chimica significa concentrazione, essa avviene tra </w:t>
      </w:r>
      <w:r>
        <w:rPr>
          <w:rFonts w:ascii="Calibri" w:hAnsi="Calibri" w:cs="Calibri" w:eastAsia="Calibri"/>
          <w:b/>
          <w:i/>
          <w:color w:val="auto"/>
          <w:spacing w:val="0"/>
          <w:position w:val="0"/>
          <w:sz w:val="24"/>
          <w:shd w:fill="auto" w:val="clear"/>
        </w:rPr>
        <w:t xml:space="preserve">titolante</w:t>
      </w:r>
      <w:r>
        <w:rPr>
          <w:rFonts w:ascii="Calibri" w:hAnsi="Calibri" w:cs="Calibri" w:eastAsia="Calibri"/>
          <w:i/>
          <w:color w:val="auto"/>
          <w:spacing w:val="0"/>
          <w:position w:val="0"/>
          <w:sz w:val="24"/>
          <w:shd w:fill="auto" w:val="clear"/>
        </w:rPr>
        <w:t xml:space="preserve"> ed un </w:t>
      </w:r>
      <w:r>
        <w:rPr>
          <w:rFonts w:ascii="Calibri" w:hAnsi="Calibri" w:cs="Calibri" w:eastAsia="Calibri"/>
          <w:b/>
          <w:i/>
          <w:color w:val="auto"/>
          <w:spacing w:val="0"/>
          <w:position w:val="0"/>
          <w:sz w:val="24"/>
          <w:shd w:fill="auto" w:val="clear"/>
        </w:rPr>
        <w:t xml:space="preserve">titolato</w:t>
      </w:r>
      <w:r>
        <w:rPr>
          <w:rFonts w:ascii="Calibri" w:hAnsi="Calibri" w:cs="Calibri" w:eastAsia="Calibri"/>
          <w:i/>
          <w:color w:val="auto"/>
          <w:spacing w:val="0"/>
          <w:position w:val="0"/>
          <w:sz w:val="24"/>
          <w:shd w:fill="auto" w:val="clear"/>
        </w:rPr>
        <w:t xml:space="preserve">, con l’aggiunta di un </w:t>
      </w:r>
      <w:r>
        <w:rPr>
          <w:rFonts w:ascii="Calibri" w:hAnsi="Calibri" w:cs="Calibri" w:eastAsia="Calibri"/>
          <w:b/>
          <w:i/>
          <w:color w:val="auto"/>
          <w:spacing w:val="0"/>
          <w:position w:val="0"/>
          <w:sz w:val="24"/>
          <w:shd w:fill="auto" w:val="clear"/>
        </w:rPr>
        <w:t xml:space="preserve">indicatore</w:t>
      </w:r>
      <w:r>
        <w:rPr>
          <w:rFonts w:ascii="Calibri" w:hAnsi="Calibri" w:cs="Calibri" w:eastAsia="Calibri"/>
          <w: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i/>
          <w:color w:val="auto"/>
          <w:spacing w:val="0"/>
          <w:position w:val="0"/>
          <w:sz w:val="24"/>
          <w:shd w:fill="auto" w:val="clear"/>
        </w:rPr>
      </w:pPr>
    </w:p>
    <w:p>
      <w:pPr>
        <w:numPr>
          <w:ilvl w:val="0"/>
          <w:numId w:val="5"/>
        </w:numPr>
        <w:spacing w:before="0" w:after="160" w:line="259"/>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Titolante: </w:t>
      </w:r>
      <w:r>
        <w:rPr>
          <w:rFonts w:ascii="Calibri" w:hAnsi="Calibri" w:cs="Calibri" w:eastAsia="Calibri"/>
          <w:i/>
          <w:color w:val="auto"/>
          <w:spacing w:val="0"/>
          <w:position w:val="0"/>
          <w:sz w:val="24"/>
          <w:shd w:fill="auto" w:val="clear"/>
        </w:rPr>
        <w:t xml:space="preserve">composto necessario per determinare la concentrazione del </w:t>
      </w:r>
      <w:r>
        <w:rPr>
          <w:rFonts w:ascii="Calibri" w:hAnsi="Calibri" w:cs="Calibri" w:eastAsia="Calibri"/>
          <w:b/>
          <w:i/>
          <w:color w:val="auto"/>
          <w:spacing w:val="0"/>
          <w:position w:val="0"/>
          <w:sz w:val="24"/>
          <w:shd w:fill="auto" w:val="clear"/>
        </w:rPr>
        <w:t xml:space="preserve">titolato</w:t>
      </w:r>
      <w:r>
        <w:rPr>
          <w:rFonts w:ascii="Calibri" w:hAnsi="Calibri" w:cs="Calibri" w:eastAsia="Calibri"/>
          <w: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i/>
          <w:color w:val="auto"/>
          <w:spacing w:val="0"/>
          <w:position w:val="0"/>
          <w:sz w:val="24"/>
          <w:shd w:fill="auto" w:val="clear"/>
        </w:rPr>
      </w:pPr>
    </w:p>
    <w:p>
      <w:pPr>
        <w:numPr>
          <w:ilvl w:val="0"/>
          <w:numId w:val="7"/>
        </w:numPr>
        <w:spacing w:before="0" w:after="160" w:line="259"/>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Titolato:</w:t>
      </w:r>
      <w:r>
        <w:rPr>
          <w:rFonts w:ascii="Calibri" w:hAnsi="Calibri" w:cs="Calibri" w:eastAsia="Calibri"/>
          <w:i/>
          <w:color w:val="auto"/>
          <w:spacing w:val="0"/>
          <w:position w:val="0"/>
          <w:sz w:val="24"/>
          <w:shd w:fill="auto" w:val="clear"/>
        </w:rPr>
        <w:t xml:space="preserve"> composto di cui non conosciamo la concentrazione.</w:t>
      </w:r>
    </w:p>
    <w:p>
      <w:pPr>
        <w:spacing w:before="0" w:after="160" w:line="259"/>
        <w:ind w:right="0" w:left="720" w:firstLine="0"/>
        <w:jc w:val="left"/>
        <w:rPr>
          <w:rFonts w:ascii="Calibri" w:hAnsi="Calibri" w:cs="Calibri" w:eastAsia="Calibri"/>
          <w:i/>
          <w:color w:val="auto"/>
          <w:spacing w:val="0"/>
          <w:position w:val="0"/>
          <w:sz w:val="24"/>
          <w:shd w:fill="auto" w:val="clear"/>
        </w:rPr>
      </w:pP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Indicatore: </w:t>
      </w:r>
      <w:r>
        <w:rPr>
          <w:rFonts w:ascii="Calibri" w:hAnsi="Calibri" w:cs="Calibri" w:eastAsia="Calibri"/>
          <w:i/>
          <w:color w:val="auto"/>
          <w:spacing w:val="0"/>
          <w:position w:val="0"/>
          <w:sz w:val="24"/>
          <w:shd w:fill="auto" w:val="clear"/>
        </w:rPr>
        <w:t xml:space="preserve">e’ una sostanza che cambia colore in base all’ambiente acido o basico in cui si trova. Il brusco cambiamento di colore si chiama viraggio dell’indicatore.</w:t>
        <w:br/>
        <w:t xml:space="preserve">Il viraggio dell’indicatore permette di capire che la titolazione e’ finita.</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Punto di equivalenza: </w:t>
      </w:r>
      <w:r>
        <w:rPr>
          <w:rFonts w:ascii="Calibri" w:hAnsi="Calibri" w:cs="Calibri" w:eastAsia="Calibri"/>
          <w:i/>
          <w:color w:val="auto"/>
          <w:spacing w:val="0"/>
          <w:position w:val="0"/>
          <w:sz w:val="24"/>
          <w:shd w:fill="auto" w:val="clear"/>
        </w:rPr>
        <w:t xml:space="preserve">e’ il punto in cui le moli di acido sono uguali alle moli di base</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Avvinamento: </w:t>
      </w:r>
      <w:r>
        <w:rPr>
          <w:rFonts w:ascii="Calibri" w:hAnsi="Calibri" w:cs="Calibri" w:eastAsia="Calibri"/>
          <w:i/>
          <w:color w:val="auto"/>
          <w:spacing w:val="0"/>
          <w:position w:val="0"/>
          <w:sz w:val="24"/>
          <w:shd w:fill="auto" w:val="clear"/>
        </w:rPr>
        <w:t xml:space="preserve">Lavare uno strumento con il medesimo liquido che dovra’ contenerlo (questo procedimento serve per eliminare possibili tracce di impurita’ all’interno dello strumento in uso).</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Materiali:</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Pipetta volumetrica (portata: 10mL)</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Beuta + sostegno + pinza a ragno</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Imbuto</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Bicchiere o Becker</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Bacchetta di vetro</w:t>
      </w: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Contenitore di acqua distillata</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Reagenti: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HCl</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(0.1M Buretta) (acido)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NaOH</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(10mL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Beuta o bicchiere) (incognita) (basico)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Fenolftaleina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(indicatore)</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547" w:dyaOrig="547">
          <v:rect xmlns:o="urn:schemas-microsoft-com:office:office" xmlns:v="urn:schemas-microsoft-com:vml" id="rectole0000000000" style="width:27.350000pt;height:2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08" w:leader="none"/>
          <w:tab w:val="left" w:pos="1965" w:leader="none"/>
          <w:tab w:val="left" w:pos="2445" w:leader="none"/>
          <w:tab w:val="left" w:pos="3900" w:leader="none"/>
        </w:tabs>
        <w:spacing w:before="0" w:after="160" w:line="259"/>
        <w:ind w:right="0" w:left="0" w:firstLine="0"/>
        <w:jc w:val="left"/>
        <w:rPr>
          <w:rFonts w:ascii="Calibri" w:hAnsi="Calibri" w:cs="Calibri" w:eastAsia="Calibri"/>
          <w:b/>
          <w:color w:val="auto"/>
          <w:spacing w:val="0"/>
          <w:position w:val="0"/>
          <w:sz w:val="24"/>
          <w:shd w:fill="auto" w:val="clear"/>
        </w:rPr>
      </w:pPr>
      <w:r>
        <w:object w:dxaOrig="239" w:dyaOrig="248">
          <v:rect xmlns:o="urn:schemas-microsoft-com:office:office" xmlns:v="urn:schemas-microsoft-com:vml" id="rectole0000000001" style="width:11.950000pt;height:1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244" w:dyaOrig="244">
          <v:rect xmlns:o="urn:schemas-microsoft-com:office:office" xmlns:v="urn:schemas-microsoft-com:vml" id="rectole0000000002" style="width:12.200000pt;height:1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b/>
          <w:color w:val="auto"/>
          <w:spacing w:val="0"/>
          <w:position w:val="0"/>
          <w:sz w:val="24"/>
          <w:shd w:fill="auto" w:val="clear"/>
        </w:rPr>
        <w:t xml:space="preserve">HCl         NaOH</w:t>
        <w:tab/>
        <w:t xml:space="preserve">    NaCl           H</w:t>
      </w:r>
      <w:r>
        <w:rPr>
          <w:rFonts w:ascii="Calibri" w:hAnsi="Calibri" w:cs="Calibri" w:eastAsia="Calibri"/>
          <w:b/>
          <w:color w:val="auto"/>
          <w:spacing w:val="0"/>
          <w:position w:val="0"/>
          <w:sz w:val="24"/>
          <w:shd w:fill="auto" w:val="clear"/>
          <w:vertAlign w:val="subscript"/>
        </w:rPr>
        <w:t xml:space="preserve">2</w:t>
      </w:r>
      <w:r>
        <w:rPr>
          <w:rFonts w:ascii="Calibri" w:hAnsi="Calibri" w:cs="Calibri" w:eastAsia="Calibri"/>
          <w:b/>
          <w:color w:val="auto"/>
          <w:spacing w:val="0"/>
          <w:position w:val="0"/>
          <w:sz w:val="24"/>
          <w:shd w:fill="auto" w:val="clear"/>
        </w:rPr>
        <w:t xml:space="preserve">O</w:t>
      </w: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Descrizione sintetica per punti del procedimento eseguito:</w:t>
      </w:r>
    </w:p>
    <w:p>
      <w:pPr>
        <w:numPr>
          <w:ilvl w:val="0"/>
          <w:numId w:val="19"/>
        </w:numPr>
        <w:tabs>
          <w:tab w:val="left" w:pos="708" w:leader="none"/>
          <w:tab w:val="left" w:pos="1965" w:leader="none"/>
          <w:tab w:val="left" w:pos="244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Avvinare correttamente gli strumenti: pipetta con NaOH e la buretta con HCl</w:t>
      </w:r>
    </w:p>
    <w:p>
      <w:pPr>
        <w:numPr>
          <w:ilvl w:val="0"/>
          <w:numId w:val="19"/>
        </w:numPr>
        <w:tabs>
          <w:tab w:val="left" w:pos="708" w:leader="none"/>
          <w:tab w:val="left" w:pos="1965" w:leader="none"/>
          <w:tab w:val="left" w:pos="244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Prelevare con una pipetta volumetrica 10 mL di NaOH e trasferirli nel Becker</w:t>
      </w:r>
    </w:p>
    <w:p>
      <w:pPr>
        <w:numPr>
          <w:ilvl w:val="0"/>
          <w:numId w:val="19"/>
        </w:numPr>
        <w:tabs>
          <w:tab w:val="left" w:pos="708" w:leader="none"/>
          <w:tab w:val="left" w:pos="1965" w:leader="none"/>
          <w:tab w:val="left" w:pos="244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Riempire la buretta con HCl ed azzerarla</w:t>
      </w:r>
    </w:p>
    <w:p>
      <w:pPr>
        <w:numPr>
          <w:ilvl w:val="0"/>
          <w:numId w:val="19"/>
        </w:numPr>
        <w:tabs>
          <w:tab w:val="left" w:pos="708" w:leader="none"/>
          <w:tab w:val="left" w:pos="1965" w:leader="none"/>
          <w:tab w:val="left" w:pos="244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una o due gocce di fenoftaleina all’interno del Becker contenente NaOH ottenendo un colore rosa intenso</w:t>
      </w:r>
    </w:p>
    <w:p>
      <w:pPr>
        <w:numPr>
          <w:ilvl w:val="0"/>
          <w:numId w:val="19"/>
        </w:numPr>
        <w:tabs>
          <w:tab w:val="left" w:pos="708" w:leader="none"/>
          <w:tab w:val="left" w:pos="1965" w:leader="none"/>
          <w:tab w:val="left" w:pos="244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30 mL di acqua distillata nel Becker</w:t>
      </w:r>
    </w:p>
    <w:p>
      <w:pPr>
        <w:numPr>
          <w:ilvl w:val="0"/>
          <w:numId w:val="19"/>
        </w:numPr>
        <w:tabs>
          <w:tab w:val="left" w:pos="708" w:leader="none"/>
          <w:tab w:val="left" w:pos="1965" w:leader="none"/>
          <w:tab w:val="left" w:pos="2445"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lentamente l’HCl nel Becker contenente NaOH fino a che la soluzione non diventa incolore</w:t>
      </w: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Valori teorici:</w:t>
      </w: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HCl teorico necessario per il completamento della titolazione: </w:t>
      </w:r>
      <w:r>
        <w:rPr>
          <w:rFonts w:ascii="Calibri" w:hAnsi="Calibri" w:cs="Calibri" w:eastAsia="Calibri"/>
          <w:b/>
          <w:color w:val="auto"/>
          <w:spacing w:val="0"/>
          <w:position w:val="0"/>
          <w:sz w:val="24"/>
          <w:shd w:fill="auto" w:val="clear"/>
        </w:rPr>
        <w:t xml:space="preserve">10 mL</w:t>
      </w: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Valori sperimentali:</w:t>
      </w:r>
    </w:p>
    <w:tbl>
      <w:tblPr/>
      <w:tblGrid>
        <w:gridCol w:w="2407"/>
        <w:gridCol w:w="2550"/>
        <w:gridCol w:w="2409"/>
        <w:gridCol w:w="2262"/>
      </w:tblGrid>
      <w:tr>
        <w:trPr>
          <w:trHeight w:val="1" w:hRule="atLeast"/>
          <w:jc w:val="left"/>
        </w:trPr>
        <w:tc>
          <w:tcPr>
            <w:tcW w:w="2407"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 prova</w:t>
            </w:r>
          </w:p>
        </w:tc>
        <w:tc>
          <w:tcPr>
            <w:tcW w:w="2550"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 della prova (mL)</w:t>
            </w:r>
          </w:p>
        </w:tc>
        <w:tc>
          <w:tcPr>
            <w:tcW w:w="2409"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dopo la prova (mL)</w:t>
            </w:r>
          </w:p>
        </w:tc>
        <w:tc>
          <w:tcPr>
            <w:tcW w:w="226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Differenza (mL)</w:t>
            </w:r>
          </w:p>
        </w:tc>
      </w:tr>
      <w:tr>
        <w:trPr>
          <w:trHeight w:val="1" w:hRule="atLeast"/>
          <w:jc w:val="left"/>
        </w:trPr>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0.0</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9.6</w:t>
            </w:r>
          </w:p>
        </w:tc>
        <w:tc>
          <w:tcPr>
            <w:tcW w:w="2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9.6</w:t>
            </w:r>
          </w:p>
        </w:tc>
      </w:tr>
      <w:tr>
        <w:trPr>
          <w:trHeight w:val="1" w:hRule="atLeast"/>
          <w:jc w:val="left"/>
        </w:trPr>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9.6</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19.5</w:t>
            </w:r>
          </w:p>
        </w:tc>
        <w:tc>
          <w:tcPr>
            <w:tcW w:w="2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9.9</w:t>
            </w:r>
          </w:p>
        </w:tc>
      </w:tr>
      <w:tr>
        <w:trPr>
          <w:trHeight w:val="1" w:hRule="atLeast"/>
          <w:jc w:val="left"/>
        </w:trPr>
        <w:tc>
          <w:tcPr>
            <w:tcW w:w="24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19.5</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29.4</w:t>
            </w:r>
          </w:p>
        </w:tc>
        <w:tc>
          <w:tcPr>
            <w:tcW w:w="22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9.9</w:t>
            </w:r>
          </w:p>
        </w:tc>
      </w:tr>
      <w:tr>
        <w:trPr>
          <w:trHeight w:val="1" w:hRule="atLeast"/>
          <w:jc w:val="left"/>
        </w:trPr>
        <w:tc>
          <w:tcPr>
            <w:tcW w:w="9628" w:type="dxa"/>
            <w:gridSpan w:val="4"/>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Calcoli:</w:t>
            </w:r>
          </w:p>
        </w:tc>
      </w:tr>
      <w:tr>
        <w:trPr>
          <w:trHeight w:val="1" w:hRule="atLeast"/>
          <w:jc w:val="left"/>
        </w:trPr>
        <w:tc>
          <w:tcPr>
            <w:tcW w:w="7366" w:type="dxa"/>
            <w:gridSpan w:val="3"/>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left" w:pos="196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Media aritmetica della differenza tra i mL (prove n. 1,2,3)</w:t>
            </w:r>
          </w:p>
        </w:tc>
        <w:tc>
          <w:tcPr>
            <w:tcW w:w="226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9.8mL</w:t>
            </w:r>
          </w:p>
        </w:tc>
      </w:tr>
      <w:tr>
        <w:trPr>
          <w:trHeight w:val="1" w:hRule="atLeast"/>
          <w:jc w:val="left"/>
        </w:trPr>
        <w:tc>
          <w:tcPr>
            <w:tcW w:w="7366" w:type="dxa"/>
            <w:gridSpan w:val="3"/>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tabs>
                <w:tab w:val="left" w:pos="162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Media aritmetica della differenza tra i mL (prove n. 2,3) </w:t>
            </w:r>
          </w:p>
          <w:p>
            <w:pPr>
              <w:tabs>
                <w:tab w:val="left" w:pos="162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(non considerando la prova n.1 a causa dell’errore maggiore di 0.1mL)</w:t>
            </w:r>
          </w:p>
        </w:tc>
        <w:tc>
          <w:tcPr>
            <w:tcW w:w="2262"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9.9mL</w:t>
            </w:r>
          </w:p>
        </w:tc>
      </w:tr>
      <w:tr>
        <w:trPr>
          <w:trHeight w:val="1" w:hRule="atLeast"/>
          <w:jc w:val="left"/>
        </w:trPr>
        <w:tc>
          <w:tcPr>
            <w:tcW w:w="7366" w:type="dxa"/>
            <w:gridSpan w:val="3"/>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tabs>
                <w:tab w:val="left" w:pos="162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Calcolo della concentrazione di NaOH </w:t>
            </w:r>
          </w:p>
          <w:p>
            <w:pPr>
              <w:tabs>
                <w:tab w:val="left" w:pos="162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(M1 x V1 = M2 x V2);</w:t>
            </w:r>
          </w:p>
          <w:p>
            <w:pPr>
              <w:tabs>
                <w:tab w:val="left" w:pos="162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(0.1 x 9.9 = M2 x 10);</w:t>
            </w:r>
          </w:p>
          <w:p>
            <w:pPr>
              <w:tabs>
                <w:tab w:val="left" w:pos="1620" w:leader="none"/>
              </w:tabs>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(M2 = 0.1 x 9.9 / 10);</w:t>
            </w:r>
          </w:p>
          <w:p>
            <w:pPr>
              <w:tabs>
                <w:tab w:val="left" w:pos="1620" w:leader="none"/>
              </w:tabs>
              <w:spacing w:before="0" w:after="0" w:line="240"/>
              <w:ind w:right="0" w:left="0" w:firstLine="0"/>
              <w:jc w:val="left"/>
              <w:rPr>
                <w:rFonts w:ascii="Calibri" w:hAnsi="Calibri" w:cs="Calibri" w:eastAsia="Calibri"/>
                <w:b/>
                <w:color w:val="auto"/>
                <w:spacing w:val="0"/>
                <w:position w:val="0"/>
                <w:sz w:val="24"/>
                <w:shd w:fill="auto" w:val="clear"/>
              </w:rPr>
            </w:pPr>
          </w:p>
          <w:p>
            <w:pPr>
              <w:tabs>
                <w:tab w:val="left" w:pos="1620" w:leader="none"/>
              </w:tabs>
              <w:spacing w:before="0" w:after="0" w:line="240"/>
              <w:ind w:right="0" w:left="0" w:firstLine="0"/>
              <w:jc w:val="left"/>
              <w:rPr>
                <w:rFonts w:ascii="Calibri" w:hAnsi="Calibri" w:cs="Calibri" w:eastAsia="Calibri"/>
                <w:color w:val="auto"/>
                <w:spacing w:val="0"/>
                <w:position w:val="0"/>
                <w:shd w:fill="auto" w:val="clear"/>
              </w:rPr>
            </w:pPr>
          </w:p>
        </w:tc>
        <w:tc>
          <w:tcPr>
            <w:tcW w:w="2262"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top"/>
          </w:tcPr>
          <w:p>
            <w:pPr>
              <w:tabs>
                <w:tab w:val="left" w:pos="708" w:leader="none"/>
                <w:tab w:val="left" w:pos="1965" w:leader="none"/>
                <w:tab w:val="left" w:pos="2445"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0.099M</w:t>
            </w:r>
          </w:p>
        </w:tc>
      </w:tr>
    </w:tbl>
    <w:p>
      <w:pPr>
        <w:tabs>
          <w:tab w:val="left" w:pos="708" w:leader="none"/>
          <w:tab w:val="left" w:pos="1965" w:leader="none"/>
          <w:tab w:val="left" w:pos="2445"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b/>
          <w:color w:val="auto"/>
          <w:spacing w:val="0"/>
          <w:position w:val="0"/>
          <w:sz w:val="24"/>
          <w:shd w:fill="auto" w:val="clear"/>
        </w:rPr>
      </w:pP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Considerazioni e errori piu’ comuni:</w:t>
      </w:r>
    </w:p>
    <w:p>
      <w:pPr>
        <w:numPr>
          <w:ilvl w:val="0"/>
          <w:numId w:val="46"/>
        </w:numPr>
        <w:tabs>
          <w:tab w:val="left" w:pos="708" w:leader="none"/>
          <w:tab w:val="left" w:pos="1965" w:leader="none"/>
          <w:tab w:val="left" w:pos="2445"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Errore di parallasse o nella lettura degli strumenti</w:t>
      </w:r>
    </w:p>
    <w:p>
      <w:pPr>
        <w:numPr>
          <w:ilvl w:val="0"/>
          <w:numId w:val="46"/>
        </w:numPr>
        <w:tabs>
          <w:tab w:val="left" w:pos="708" w:leader="none"/>
          <w:tab w:val="left" w:pos="1965" w:leader="none"/>
          <w:tab w:val="left" w:pos="2445"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Mancato o errato avvinamento degli strumenti</w:t>
      </w:r>
    </w:p>
    <w:p>
      <w:pPr>
        <w:numPr>
          <w:ilvl w:val="0"/>
          <w:numId w:val="46"/>
        </w:numPr>
        <w:tabs>
          <w:tab w:val="left" w:pos="708" w:leader="none"/>
          <w:tab w:val="left" w:pos="1965" w:leader="none"/>
          <w:tab w:val="left" w:pos="2445" w:leader="none"/>
        </w:tabs>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Aggiunta di troppo indicatore</w:t>
      </w: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Tutti questi fattori, possono variare di molto il risultato finale della prova.</w:t>
      </w:r>
    </w:p>
    <w:p>
      <w:pPr>
        <w:tabs>
          <w:tab w:val="left" w:pos="708" w:leader="none"/>
          <w:tab w:val="left" w:pos="1965" w:leader="none"/>
          <w:tab w:val="left" w:pos="2445"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Noi pensiamo che, nella nostra prova, il variare del risultato sia dovuto all’imprecisione durante il prelievo dei reagenti, quindi anche dovuto ad un’errore di parallasse (da come si puo’ vedere confrontando i valori teorici con quelli sperimentali), tuttavia, la prova e’ stata svolta con una buona precisione tranne per il primo valore riportato che non e’ stato preso in considerazione.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1">
    <w:abstractNumId w:val="24"/>
  </w:num>
  <w:num w:numId="13">
    <w:abstractNumId w:val="18"/>
  </w:num>
  <w:num w:numId="15">
    <w:abstractNumId w:val="12"/>
  </w:num>
  <w:num w:numId="19">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