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2. Claude-Code-generiert.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 vs. Stöchiometrie: Wie gut ist belegt, dass das Material an einer inerten Edelmetall-Grenzfläche (Pt, Au, Graphen) resistiv schaltet, und dass dieses Schalten von der Stöchiometrie (und damit der Kovalenz) abhängt? Nur an inerten Grenzflächen bleibt die Sauerstoffbilanz im Oxid, sodass die Kovalenz – und nicht die Elektrodenchemie – die gemessene Variable ist.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belegt von allen fünf Systemen: Schalten an der Pt-Grenzfläche mechanistisch etabliert (Muenstermann 2010; Sarantopoulos 2024 – beide Pt/Fe:STO/Nb:STO; Rolle der Pt-Platzierung kontrolliert, Sediva 2019). Stöchiometrie-gesteuertes Schalten an Pt direkt demonstriert – allerdings für die Kationen-Stöchiometrie Sr/Ti (Mikheev 2015), noch nicht für den Fe-Gehalt. Fe-Serie an inerten Elektroden fehlt (Kernlücke, bestätigt Aug 2026).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stark auf 1b und 2 (die beiden entscheidenden Glieder), solide auf 1a; verbleibende Lücken sind exakt der Antragsinhalt.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Widersprüchlich belegt: Die einzige komplette x-Serie (Asanuma 2009) läuft über die reaktive Ti-Grenzfläche; an Au verschwindet die Hysterese (Nakamura 2013, Elektrodenserie Al/Ni/Ag/Au auf Pt/PCMO). Aber: Pt/PCMO/Pt-Zellen schalten nachweislich – δ-abhängig, mit STEM-EELS-Beleg der O-Migration ohne reaktive Elektrode (Kramer 2017). Edelmetall-Schalten möglich, aber schwächer, und als Ca-x-Serie unbelegt.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Persönliches De-Risking (eigene Kernexpertise), aber alle drei Beleg-Glieder lückenhaft; Kramer 2017 macht die Edelmetall-Route realistischer – Aufnahme ins PCMO-Set empfohlen.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Endglieder: SrFeO2.5/SrFeOx schaltet unter inerten Stapeln (Au-Top/SrRuO3-Boden: Nallagatla 2019, Tian 2019, Rao 2021) – Mechanismus ist der topotaktische Volumen-Phasenübergang, nicht primär die Edelmetall-Grenzflächenbarriere; LaFeO3 rudimentär (Aljurays 2023). Für 0 &lt; x &lt; 1 keine einzige Memristor-Studie (bestätigt Aug 2026).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Ausgewogen stärkstes Deskriptor-Fundament (1a exzellent + 1b quantitativ) bei maximal offener Achse 2 – größter Erkenntnisgewinn, mittleres Risiko (Topotaktik am Sr-Ende als kartierbare Grenze).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 – La1-xSrxMnO3-δ (LSMO)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der Kalibrierstandard: Die Kontrolliert-Valenz-Spektroskopie der Perowskite wurde historisch auf La1-xSrxMnO3 etabliert (Abbate 1992); systematisches Wachstum des O-2p-Lochcharakters mit x ist das Lehrbuchresultat dieser Reihe.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Dünn: EV(x) nur generisch aus DFT-Datenbanken (Curnan 2014, Emery 2017), keine geschlossene Form, kein expliziter Kovalenz→EV-Link für LSMO publiziert; Metallisierung ab x ≈ 0,17 legt eine zweite Variable über die Kette.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Schwächste Beleglage: kein Edelmetall-Grenzflächen-Schalten dokumentiert. Die einzige x-Serie (Choi 2013, x = 0,1/0,3/0,5) läuft über reaktives Al-Top (Pt nur Rückelektrode); Moreno 2010 ist spitzenbasiert (explizit kein Zwei-Elektroden-Device); neuere Einzelstudien nutzen aktives Ag (Liu 2024). Edelmetall-Schalten wäre von Grund auf neu zu etablieren.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Stärkste 1a-Achse, aber 1b dünn und Achse 2 bei null – die Beleg-Kette bricht genau an den projektkritischen Gliedern; höchster Etablierungsaufwand.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 – La2NiO4+δ / La2-xSrxNiO4 (LNO)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für die Sr-Achse: kanonische Ligandenloch-XAS (Kuiper 1991: dotierte Löcher mit dominantem O-2p-Charakter, polarisationsaufgelöst); δ-Achse spektroskopisch quantifizierbar (EELS: Koroleva 2024), aber keine systematische Kovalenz-vs-δ-Serie publiziert.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Offen – andere Defektspezies: Der Sauerstoffdefekt ist das Interstitial, nicht die Leerstelle; eine publizierte Beziehung zwischen Kovalenz/Ligandenloch-Dichte und Interstitial-Bildungsenergie (als Funktion von δ, x) existiert nicht, und die Leerstellen-Deskriptormodelle sind nicht direkt übertragbar. Zwei unabhängige Stöchiometrieachsen (δ, x) als strukturelle Chance – aber 1b wäre komplett neu zu etablieren.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δ-Abhängigkeit des Schaltens als Serie belegt (Koroleva 2024: δ wählt filamentär vs. Interface-Typ) – aber an der reaktiven TiN-Grenzfläche (Pt nur passive Rückelektrode); TiN-frei nur als interner Oxid/Oxid-Kontakt (Maas 2022). Schalten an aktiver Edelmetall-Grenzfläche: nicht gezeigt – die offene Kernfrage des LNO-Sets (Entscheidungstor Monat 12).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High-Risk/High-Gain: 1a stark, 2 teilweise (δ-Serie, falsche Grenzfläche), 1b völlig offen – wissenschaftlich reizvoll, aber zwei Kettenglieder gleichzeitig unbelegt.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LSMO ≈ LSFO ≈ LNO (kanonische XAS-Serien: Abbate 1992, Kuiper 1991)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LSMO ≈ PCMO (nur generische Modelle) &gt; LNO (Defektspezies Interstitial, Link unpubliziert).</w:t>
      </w:r>
    </w:p>
    <w:p>
      <w:pPr>
        <w:spacing w:after="100"/>
      </w:pPr>
      <w:r>
        <w:t xml:space="preserve">Rangfolge Achse 2 (Edelmetall-Schalten vs. Stöchiometrie): STF (Pt-Grenzfläche etabliert + Stöchiometrieserie an Pt, Mikheev 2015 – für Sr/Ti statt Fe) &gt; LSFO (Endglieder unter Au/SrRuO3, keine Serie) &gt; PCMO (Pt/Pt-Schalten δ-abhängig gezeigt, Kramer 2017; x-Serie nur mit Ti) &gt; LNO (δ-Serie, aber TiN-Grenzfläche) &gt; LSMO (nichts an Edelmetall).</w:t>
      </w:r>
    </w:p>
    <w:p>
      <w:pPr>
        <w:spacing w:after="100"/>
      </w:pPr>
      <w:r>
        <w:t xml:space="preserve">Lesart der Kette: Kein System ist auf allen drei Gliedern stark. STF ist das einzige System, das auf den beiden projektkritischen Gliedern (1b und 2) führt – bei solider, wenn auch subtiler 1a-Achse; die Antrags-Lücken (direkte Kovalenz↔EV-Korrelation, Fe-Serie an Pt) schließen exakt die verbleibenden Kettenglieder. LSFO hat das ausgewogenste Deskriptor-Fundament (1a exzellent, 1b quantitativ) und die am klarsten offene Achse 2 – ideal für das Gruppenprogramm, wo die Serie erst gebaut wird. LSMO illustriert die Schere: beste 1a-Achse des Feldes, aber 1b dünn und Achse 2 bei null. PCMO ist auf allen Gliedern lückenhaft, gewinnt aber durch Kramer 2017 eine realistische Edelmetall-Route. LNO hat als einziges System zwei gleichzeitig unbelegte Glieder (1b und Edelmetall-Teil von 2) – der High-Gain-Fall mit Entscheidungstor.</w:t>
      </w:r>
    </w:p>
    <w:p>
      <w:pPr>
        <w:spacing w:after="100"/>
      </w:pPr>
      <w:r>
        <w:t xml:space="preserve">Empfehlung (unverändert, jetzt schärfer begründet): STF als Lynen-Pilot (führt auf 1b + 2; Mikheev 2015 als methodische Blaupause „Stöchiometrie → Schottky-Barriere an Pt“), LSFO als Reihe 1 des Gruppenprogramms (Deskriptor-Fundament komplett, Achse 2 als definierte Lücke), LNO als exploratives Arbeitspaket der zweiten Förderphase. Die großen Anträge (ERC/Emmy Noether) behalten das Drei-Familien-Programm (LSFO/LSMO/LSCO) als Kern.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Kramer et al., APL 110, 243502 (2017) (Pt/PCMO/Pt, δ-abhängig) und Nakamura et al., Nanoscale Res. Lett. 8, 76 (2013) (Elektrodenserie) in das PCMO-Antragsset aufnehmen.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2026-08-09T17:00:49.122Z</dcterms:created>
  <dcterms:modified xsi:type="dcterms:W3CDTF">2026-08-09T17:00:49.123Z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