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later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validated by a “blind” prediction on an oxide not contained in the training set.</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back to the electronic structure – ultimately to the metal–oxygen covalency. The conceptual foundation is the Zaanen–Sawatzky–Allen scheme [21]: the charge-transfer energy Δ (O 2p → metal 3d) measures the position of the O-2p states relative to the metal d states and is the microscopic measure of covalency.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XAS provides exactly the observables required for an experimental descriptor map. The pre-edge of the O-K edge (528–532 eV) arises from transitions into unoccupied, covalently hybridised O2p–TM3d states; its integrated intensity is an established measure of metal–oxygen hybridisation [45, 47].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precisely the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by contrast, has only been studied rudimentarily (polycrystalline, chemically deposited films [67, 87]) – consistent with its high vacancy formation energy. For the manganite series, besides the PCMO system [4, E2],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itself is documented as an active switching layer (multilevel switching [68], forming-free interface devices [69, 88], in-situ TEM evidence of vacancy-driven topotactic transitions [19]).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Viewed along the descriptor chain, the evidence is complementary rather than complete: for the ferrite series the covalency axis is canonical [46] and EV(x) quantitative [31, 86], but intermediate-composition devices are absent – though switching under inert Au/SrRuO3 stacks is proven at the Sr-rich end member [16, 17], which turns the series from a feasibility risk into an optimisation space; for the La1-xSrxMnO3 series the covalency axis is the calibration standard of the field [46], while EV is anchored only generically [42–44] and no switching at a noble-metal interface has been reported for any composition; and stoichiometry-controlled switching at a Pt interface has so far been shown only for the cation stoichiometry of SrTiO3 [78].</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Within the fellowship project “Covalency as an experimental descriptor of intrinsic memristive switching: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model series”, the applicant has grown an epitaxial STF composition series – deliberately a system that switches </w:t>
      </w:r>
      <w:r>
        <w:rPr>
          <w:rFonts w:ascii="Arial" w:hAnsi="Arial" w:cs="Arial"/>
          <w:i/>
          <w:iCs/>
          <w:sz w:val="21"/>
          <w:szCs w:val="21"/>
        </w:rPr>
        <w:t>intrinsically</w:t>
      </w:r>
      <w:r>
        <w:rPr>
          <w:rFonts w:ascii="Arial" w:hAnsi="Arial" w:cs="Arial"/>
          <w:sz w:val="21"/>
          <w:szCs w:val="21"/>
        </w:rPr>
        <w:t>, with the oxygen balance inside the oxide, sealed by gas-tight, photoelectron-transparent graphene electrodes – established the O-K/Fe-L covalency scale across it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[E4] M. Buczek, [co-authors], W. C. Chueh, [working title: An experimental covalency scale for intrinsically switching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memristive devices].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2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MnO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0.5):</w:t>
      </w:r>
      <w:r>
        <w:rPr>
          <w:rFonts w:ascii="Arial" w:eastAsia="Times New Roman" w:hAnsi="Arial" w:cs="Arial"/>
          <w:sz w:val="21"/>
          <w:szCs w:val="21"/>
        </w:rPr>
        <w:t xml:space="preserve"> Reference system with robust, well-documented VCM behaviour (PCMO kinship [4–6, 19]) and a flatter covalency span; XAS reference data are available from the literature [46].</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3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CoO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or B-site series La(Fe</w:t>
      </w:r>
      <w:r>
        <w:rPr>
          <w:rFonts w:ascii="Arial" w:eastAsia="Times New Roman" w:hAnsi="Arial" w:cs="Arial"/>
          <w:b/>
          <w:bCs/>
          <w:sz w:val="21"/>
          <w:szCs w:val="21"/>
          <w:vertAlign w:val="subscript"/>
        </w:rPr>
        <w:t>1-y</w:t>
      </w:r>
      <w:r>
        <w:rPr>
          <w:rFonts w:ascii="Arial" w:eastAsia="Times New Roman" w:hAnsi="Arial" w:cs="Arial"/>
          <w:b/>
          <w:bCs/>
          <w:sz w:val="21"/>
          <w:szCs w:val="21"/>
        </w:rPr>
        <w:t>Co</w:t>
      </w:r>
      <w:r>
        <w:rPr>
          <w:rFonts w:ascii="Arial" w:eastAsia="Times New Roman" w:hAnsi="Arial" w:cs="Arial"/>
          <w:b/>
          <w:bCs/>
          <w:sz w:val="21"/>
          <w:szCs w:val="21"/>
          <w:vertAlign w:val="subscript"/>
        </w:rPr>
        <w:t>y</w:t>
      </w:r>
      <w:r>
        <w:rPr>
          <w:rFonts w:ascii="Arial" w:eastAsia="Times New Roman" w:hAnsi="Arial" w:cs="Arial"/>
          <w:b/>
          <w:bCs/>
          <w:sz w:val="21"/>
          <w:szCs w:val="21"/>
        </w:rPr>
        <w:t>)O</w:t>
      </w:r>
      <w:r>
        <w:rPr>
          <w:rFonts w:ascii="Arial" w:eastAsia="Times New Roman" w:hAnsi="Arial" w:cs="Arial"/>
          <w:b/>
          <w:bCs/>
          <w:sz w:val="21"/>
          <w:szCs w:val="21"/>
          <w:vertAlign w:val="subscript"/>
        </w:rPr>
        <w:t>3</w:t>
      </w:r>
      <w:r>
        <w:rPr>
          <w:rFonts w:ascii="Arial" w:eastAsia="Times New Roman" w:hAnsi="Arial" w:cs="Arial"/>
          <w:b/>
          <w:bCs/>
          <w:sz w:val="21"/>
          <w:szCs w:val="21"/>
        </w:rPr>
        <w:t xml:space="preserve"> (second project phase):</w:t>
      </w:r>
      <w:r>
        <w:rPr>
          <w:rFonts w:ascii="Arial" w:eastAsia="Times New Roman" w:hAnsi="Arial" w:cs="Arial"/>
          <w:sz w:val="21"/>
          <w:szCs w:val="21"/>
        </w:rPr>
        <w:t xml:space="preserve"> Densification and extension of the map;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growth of a doping series, XAS covalency quantification, graphene-sealed intrinsic devices, correlation against switching data – has been established and de-risked on the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pilot series during the applicant’s Feodor Lynen project [E4] and is transferred here to the mixed-valent A-site series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(e.g. from the nickelate or double-perovskite family),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