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La1-xSrxMnO3 series the covalency axis is the calibration standard of the field [46], while EV is anchored only generically [42–44] and no switching at a noble-metal interface has been reported for any composition; and stoichiometry-controlled switching at a Pt interface has so far been shown only for the cation stoichiometry of SrTiO3 [78].</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219944520"/>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219944520"/>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219944520"/>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219944520"/>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219944520"/>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19944520"/>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219944520"/>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219944520"/>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