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Materialsysteme im Vergleich – Entscheidungsgrundlage für das Antragsportfolio</w:t>
      </w:r>
    </w:p>
    <w:p>
      <w:pPr>
        <w:spacing w:after="100"/>
      </w:pPr>
      <w:r>
        <w:rPr>
          <w:i/>
          <w:iCs/>
          <w:sz w:val="18"/>
          <w:szCs w:val="18"/>
        </w:rPr>
        <w:t xml:space="preserve">Stand: 09.08.2026, Fokus-Revision 2. Claude-Code-generiert. Bewertung entlang der Deskriptorkette in drei Beleg-Glieder zerlegt (1a, 1b, 2 – siehe unten); Elektrodenstapel und Stöchiometrie-Abhängigkeiten der 14 zentralen Device-Studien einzeln verifiziert. Referenzstatus: Alle 101 Literaturverweise des Portfolios am 09.08.2026 vollständig verifiziert und korrigiert, Literatursuche je System wiederholt, empfohlene Neuaufnahmen eingearbeitet (Details: Literaturpruefung_2026-08-09.docx). Die Drei-Glieder-Bewertung ist in die Antragsdokumente übernommen: Ketten-Absätze in allen EN-/ERC-Fassungen, geschärfte Systemargumente in den fünf Lynen-Exposés; Kramer 2017 und Nakamura 2013 neu im PCMO-Set, Mikheev 2015 neu im STF-Exposé. Jeder Materialordner (Material_1 … Material_5) enthält ein vollständiges Antragsset: Feodor-Lynen-Exposé, ERC Starting Grant (COVMAP) und DFG Emmy Noether (COMET-Ox).</w:t>
      </w:r>
    </w:p>
    <w:p>
      <w:pPr>
        <w:pStyle w:val="Heading1"/>
        <w:spacing w:after="120" w:before="240"/>
      </w:pPr>
      <w:r>
        <w:t xml:space="preserve">Bewertungsfokus: die Deskriptorkette in drei Beleg-Gliedern</w:t>
      </w:r>
    </w:p>
    <w:p>
      <w:pPr>
        <w:spacing w:after="100"/>
      </w:pPr>
      <w:r>
        <w:t xml:space="preserve">Die Projektlogik ist eine Kette: Stöchiometrie → Kovalenz → Sauerstoffleerstellen-Bildungsenergie (EV) → Schaltverhalten. Die Beleglage wird pro System für drei Glieder getrennt bewertet:</w:t>
      </w:r>
    </w:p>
    <w:p>
      <w:pPr>
        <w:spacing w:after="100"/>
      </w:pPr>
      <w:r>
        <w:t xml:space="preserve">Achse 1a – Kovalenzänderung mit der Stöchiometrie: Wie gut ist experimentell (XAS-Serien, O-K-Preedge) belegt, dass sich die Metall–Sauerstoff-Kovalenz mit der Dotierung x bzw. dem Sauerstoffgehalt δ systematisch und quantifizierbar ändert?</w:t>
      </w:r>
    </w:p>
    <w:p>
      <w:pPr>
        <w:spacing w:after="100"/>
      </w:pPr>
      <w:r>
        <w:t xml:space="preserve">Achse 1b – EV-Änderung mit der Kovalenz: Wie gut ist belegt, dass die Leerstellen-Bildungsenergie des Systems der Kovalenz folgt – idealerweise als quantitative EV(x)-Beziehung (Defektchemie, DFT) mit explizitem Kovalenz-Bezug? (Die generische Perowskit-Deskriptorliteratur – Lee 2011, Deml 2014, Jacobs 2019, Wexler 2021 – liefert das Fundament für alle Systeme; bewertet wird hier die systemspezifische Verankerung.)</w:t>
      </w:r>
    </w:p>
    <w:p>
      <w:pPr>
        <w:spacing w:after="100"/>
      </w:pPr>
      <w:r>
        <w:t xml:space="preserve">Achse 2 – Resistives Schalten an der Edelmetall-Grenzfläche: Ist für das Material nachgewiesen, dass es an einer inerten Edelmetall-Grenzfläche (Pt, Au, Graphen) resistiv schaltet? Kriterium: Der Nachweis für einzelne Stöchiometrien genügt. Existiert er, kann das Projekt auf dieser Basis beides untersuchen – den Zusammenhang mit der Kovalenz und die Optimierung des Schaltens über die Stöchiometrie; die fehlende Kompositionsserie ist dann Projektraum, kein Machbarkeitsrisiko. Nur wo der Nachweis ganz fehlt, steht vor der Deskriptorstudie ein Machbarkeitsschritt. (Hintergrund: Nur an inerten Grenzflächen bleibt die Sauerstoffbilanz im Oxid, sodass die Kovalenz – und nicht die Elektrodenchemie – die gemessene Variable ist.)</w:t>
      </w:r>
    </w:p>
    <w:p>
      <w:pPr>
        <w:pStyle w:val="Heading1"/>
        <w:spacing w:after="120" w:before="240"/>
      </w:pPr>
      <w:r>
        <w:t xml:space="preserve">Kurzübersicht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050"/>
        <w:gridCol w:w="2050"/>
        <w:gridCol w:w="2300"/>
        <w:gridCol w:w="1622"/>
      </w:tblGrid>
      <w:tr>
        <w:tc>
          <w:tcPr>
            <w:tcW w:type="dxa" w:w="1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System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1a: Kovalenz vs. Stöchiometrie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1b: EV vs. Kovalenz</w:t>
            </w:r>
          </w:p>
        </w:tc>
        <w:tc>
          <w:tcPr>
            <w:tcW w:type="dxa" w:w="230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2: Schalten an Edelmetall-Grenzfläche vs. Stöchiometrie</w:t>
            </w:r>
          </w:p>
        </w:tc>
        <w:tc>
          <w:tcPr>
            <w:tcW w:type="dxa" w:w="1622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Fazit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 – SrTi1-xFexO3-δ (STF)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belegt: Fe–O-Hybridisierung und Fe-Valenz über die Reihe per XAS dokumentiert (Vračar 2007); die elektronische Struktur ändert sich nachweislich kontinuierlich mit x (Eg(x) = 3,2 − 1,9x + 0,5x² eV, Rothschild 2006); O-K-Preedge-Quantifizierung etabliert (Suntivich 2014, Frati 2020). Einschränkung: verdünntes Fe → kleine absolute Kovalenzänderungen, Präzisionsspektroskopie nötig.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besten verankert, aber indirekt: ΔHred(x) = 5,8 − 3,4x + 1,7x² eV aus experimentnahen Defektdaten (Leitfähigkeit/Nichtstöchiometrie; Rothschild 2006) – die einzige quasi-experimentelle EV-Skala aller fünf Systeme. Der Link läuft jedoch über die gemeinsame Variable x, nicht über direkt gemessene Kovalenz; generische Perowskit-Deskriptormodelle stützen ihn (Lee 2011, Deml 2014, Wexler 2021). Genau diese fehlende direkte Korrelation ist der Antragsinhalt.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– am stärksten: Schalten an der Pt-Grenzfläche mehrfach nachgewiesen und mechanistisch etabliert (Muenstermann 2010; Sarantopoulos 2024; Pt-Platzierung kontrolliert, Sediva 2019); mit Mikheev 2015 existiert sogar eine Stöchiometrieserie an Pt (Sr/Ti-Kationenstöchiometrie). Die fehlende Fe-Serie ist reiner Projektraum: Kovalenz-Korrelation plus Stöchiometrie-Optimierung auf nachgewiesener Basis.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Empfehlung bestätigt: alle drei Glieder mindestens solide, 1b und 2 führend; das Projekt startet auf nachgewiesener Edelmetall-Basis direkt mit Korrelation und Stöchiometrie-Optimierung. Risikoärmster Start.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– Pr1-xCaxMnO3 (PCMO)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Nur punktuell belegt: XAS-Kovalenzquantifizierung für genau zwei Kompositionen (x = 0,1 und 0,33; Lole 2023, OER-Kontext); dazwischen und darüber unbelegt; Kalibrierbasis ist die Manganit-XAS an La1-xSrxMnO3 (Abbate 1992). Die 1a-Achse wäre im Projekt weitgehend selbst zu vermessen.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Für PCMO unbelegt: keine publizierte EV(x)- oder EV(Kovalenz)-Beziehung; nur die generischen Perowskit-Deskriptormodelle (Lee 2011, Deml 2014, Wexler 2021) sind übertragbar. Der Asanuma-Optimumsbefund (x ≈ 0,4) wartet seit 15 Jahren auf genau diese Deskriptorerklärung.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Erfüllt: Schalten an der Edelmetall-Grenzfläche ist für eine Einzelstöchiometrie nachgewiesen – Pt/PCMO/Pt (x = 0,33) schaltet δ-abhängig, mit STEM-EELS-Beleg interner O-Migration (Kramer 2017). Einschränkungen: an offenen Au-Kontakten keine Hysterese (Nakamura 2013), Effekte schwächer als mit reaktivem Ti (Asanuma 2009). Die Ca-Serie an Pt ist offen – und damit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Deutlich aufgewertet: Achse 2 erfüllt (Kramer 2017) plus eigene Kernexpertise; die Schwächen liegen klar lokalisierbar auf 1a/1b (Deskriptorachsen im Projekt selbst zu vermessen). Solide De-Risking-Option mit Korrelations- und Optimierungsperspektive.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 – La1-xSrxFeO3-δ (LSFO)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– kanonisch: Kontrolliert-Valenz-XAS über die gesamte Reihe zeigt systematisch mit x wachsenden O-2p-Lochcharakter (Abbate 1992); O-K-Preedge-Quantifizierung etabliert (Suntivich 2014). Experimentell die sauberste Stöchiometrie→Kovalenz-Serie neben LSMO.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belegt, rechnerisch: EV fällt ≈4 eV → &lt;1 eV für x = 0–0,5 und wird explizit über Lochkompensation/kovalente Fe–O-Zustände erklärt (Ritzmann 2013, DFT+U); Endglieder per Diffusions-QMC (Santana 2017); Ferrite prominent in der Deskriptorliteratur (Lee 2011, Mastrikov/Merkle 2012/13). Größter dokumentierter EV-Hub – aber kein experimenteller EV-Messwert.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an den Endgliedern: SrFeO2.5/SrFeOx schaltet unter inerten Au/SrRuO3-Stapeln (Nallagatla 2019, Tian 2019, Rao 2021; topotaktischer Volumenmechanismus), LaFeO3 rudimentär (Aljurays 2023). Für 0 &lt; x &lt; 1 keine Studie – unter dem Nachweis-Kriterium kein Machbarkeitsrisiko, sondern der größte unerschlossene Optimierungsraum des Feldes.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Deskriptor-Fundament komplett (1a exzellent, 1b quantitativ) und Achse 2 an den Endgliedern erfüllt – die unbelegte Zwischenserie ist Optimierungsraum, nicht Machbarkeitsrisiko. Stärkste Wahl fürs Gruppenprogramm; Topotaktik am Sr-Ende als kartierbare Grenze.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 – La1-xSrxMnO3-δ (LSMO)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– der Kalibrierstandard: Die Kontrolliert-Valenz-Spektroskopie der Perowskite wurde historisch auf La1-xSrxMnO3 etabliert (Abbate 1992); systematisches Wachstum des O-2p-Lochcharakters mit x ist das Lehrbuchresultat dieser Reihe.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Dünn: EV(x) nur generisch aus DFT-Datenbanken (Curnan 2014, Emery 2017), keine geschlossene Form, kein expliziter Kovalenz→EV-Link für LSMO publiziert; Metallisierung ab x ≈ 0,17 legt eine zweite Variable über die Kette.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Nicht erfüllt: kein LSMO-Schalten an einer Edelmetall-Grenzfläche für irgendeine Stöchiometrie berichtet – die einzige x-Serie (Choi 2013) läuft über reaktives Al-Top, Moreno 2010 ist spitzenbasiert, Liu 2024 nutzt aktives Ag. Vor Korrelation oder Optimierung stünde hier erst der Grundnachweis.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Stärkste 1a-Achse, aber 1b dünn und Achse 2 nicht erfüllt – einziges Perowskit-System des Portfolios, das den Edelmetall-Grundnachweis erst erbringen müsste; höchster Etablierungsaufwand.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 – La2NiO4+δ / La2-xSrxNiO4 (LNO)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für die Sr-Achse: kanonische Ligandenloch-XAS (Kuiper 1991: dotierte Löcher mit dominantem O-2p-Charakter, polarisationsaufgelöst); δ-Achse spektroskopisch quantifizierbar (EELS: Koroleva 2024), aber keine systematische Kovalenz-vs-δ-Serie publiziert.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Offen – andere Defektspezies: Der Sauerstoffdefekt ist das Interstitial, nicht die Leerstelle; eine publizierte Beziehung zwischen Kovalenz/Ligandenloch-Dichte und Interstitial-Bildungsenergie (als Funktion von δ, x) existiert nicht, und die Leerstellen-Deskriptormodelle sind nicht direkt übertragbar. Zwei unabhängige Stöchiometrieachsen (δ, x) als strukturelle Chance – aber 1b wäre komplett neu zu etablieren.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Nicht erfüllt (für Edelmetall): δ-Serie existiert (Koroleva 2024: δ wählt filamentär vs. Interface-Typ), aber an der reaktiven TiN-Grenzfläche; TiN-frei nur als interner Oxid/Oxid-Kontakt (Maas 2022). Für keine (δ, x)-Stöchiometrie an Edelmetall nachgewiesen – bleibt die offene Kernfrage mit Entscheidungstor (Monat 12).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High-Risk/High-Gain: 1a stark, aber 1b und der Edelmetall-Nachweis (Achse 2) gleichzeitig offen – wissenschaftlich reizvoll, nur mit robustem Entscheidungstor wählen.</w:t>
            </w:r>
          </w:p>
        </w:tc>
      </w:tr>
    </w:tbl>
    <w:p>
      <w:pPr>
        <w:pStyle w:val="Heading1"/>
        <w:spacing w:after="120" w:before="240"/>
      </w:pPr>
      <w:r>
        <w:t xml:space="preserve">Einordnung und Empfehlung</w:t>
      </w:r>
    </w:p>
    <w:p>
      <w:pPr>
        <w:spacing w:after="100"/>
      </w:pPr>
      <w:r>
        <w:t xml:space="preserve">Rangfolge Achse 1a (Kovalenz vs. Stöchiometrie, experimentell): LSMO ≈ LSFO ≈ LNO (kanonische XAS-Serien: Abbate 1992, Kuiper 1991) &gt; STF (XAS-Serie vorhanden, Effekte klein) &gt; PCMO (zwei Messpunkte).</w:t>
      </w:r>
    </w:p>
    <w:p>
      <w:pPr>
        <w:spacing w:after="100"/>
      </w:pPr>
      <w:r>
        <w:t xml:space="preserve">Rangfolge Achse 1b (EV vs. Kovalenz, systemspezifisch): STF (einzige quasi-experimentelle EV-Skala, geschlossene Form) &gt; LSFO (quantitative DFT-Kette mit explizitem Kovalenz-Bezug, größter EV-Hub) &gt; LSMO ≈ PCMO (nur generische Modelle) &gt; LNO (Defektspezies Interstitial, Link unpubliziert).</w:t>
      </w:r>
    </w:p>
    <w:p>
      <w:pPr>
        <w:spacing w:after="100"/>
      </w:pPr>
      <w:r>
        <w:t xml:space="preserve">Achse 2 unter dem Nachweis-Kriterium (Einzelstöchiometrie genügt): Erfüllt bei STF (Pt-Basis mehrfach nachgewiesen, dazu Sr/Ti-Serie an Pt), PCMO (Pt/Pt, δ-abhängig, Kramer 2017) und LSFO (Endglieder unter Au/SrRuO3); nicht erfüllt bei LNO (nur TiN) und LSMO (kein Nachweis für irgendeine Stöchiometrie). Für die drei erfüllten Systeme wird die fehlende Kompositionsserie vom Risiko zum Projektinhalt: Korrelation mit der Kovalenz plus Optimierung des Schaltens über die Stöchiometrie.</w:t>
      </w:r>
    </w:p>
    <w:p>
      <w:pPr>
        <w:spacing w:after="100"/>
      </w:pPr>
      <w:r>
        <w:t xml:space="preserve">Lesart der Kette: Drei Systeme (STF, PCMO, LSFO) haben den Edelmetall-Nachweis und damit eine belastbare Startbasis – ihre Projekte können unmittelbar Korrelation und Stöchiometrie-Optimierung verfolgen. STF führt zusätzlich auf 1b und hat als einziges auch eine Stöchiometrieserie an Pt (Sr/Ti); seine Lücken (direkte Kovalenz↔EV-Korrelation, Fe-Serie) sind exakt der Antragsinhalt. LSFO kombiniert das komplette Deskriptor-Fundament (1a exzellent, 1b quantitativ) mit erfüllter Achse 2 an den Endgliedern – die Zwischenserie ist der größte Optimierungsraum des Feldes. PCMO bleibt auf 1a/1b am dünnsten, hat aber Nachweis und Eigenexpertise. LSMO (kein Edelmetall-Nachweis, 1b dünn) und LNO (1b und Edelmetall-Nachweis offen) tragen dagegen einen Machbarkeitsschritt vor der Deskriptorstudie.</w:t>
      </w:r>
    </w:p>
    <w:p>
      <w:pPr>
        <w:spacing w:after="100"/>
      </w:pPr>
      <w:r>
        <w:t xml:space="preserve">Empfehlung (unverändert, jetzt schärfer begründet): STF als Lynen-Pilot (führt auf 1b + 2; Mikheev 2015 als methodische Blaupause „Stöchiometrie → Schottky-Barriere an Pt“), LSFO als Reihe 1 des Gruppenprogramms (Deskriptor-Fundament komplett, Achse 2 als definierte Lücke), LNO als exploratives Arbeitspaket der zweiten Förderphase. Die großen Anträge (ERC/Emmy Noether) behalten das Drei-Familien-Programm (LSFO/LSMO/LSCO) als Kern.</w:t>
      </w:r>
    </w:p>
    <w:p>
      <w:pPr>
        <w:pStyle w:val="Heading1"/>
        <w:spacing w:after="120" w:before="240"/>
      </w:pPr>
      <w:r>
        <w:t xml:space="preserve">Offene Punkte vor Einreichung</w:t>
      </w:r>
    </w:p>
    <w:p>
      <w:pPr>
        <w:spacing w:after="100"/>
      </w:pPr>
      <w:r>
        <w:t xml:space="preserve">• Verifikations-Flags: Asanuma-Rückelektrode (SrRuO3) aus Plattformkontext erschlossen; Choi-Al-Top aus Begleitpublikationen bestätigt – vor Einreichung am Volltext gegenprüfen. • EV ist nur für STF experimentnah (Defektmodell), sonst DFT – in den Anträgen sauber als rechnerisch kennzeichnen; für LNO wäre die Interstitial-Energetik (1b) als eigenes Arbeitspaket auszuweisen. • Verteidigungsdatum, Patentdetails, Kooperationszusagen (Chueh, Synchrotron-, DFT-Partner), Wahl der Gastinstitution (RWTH vs. FZJ). • Manuskript-Platzhalter [P1]/[E4] mit realen Ergebnissen füllen. • ERC-/Emmy-Noether-Fassungen sind als Zukunftsszenario aus dem laufenden Lynen-Aufenthalt geschrieben – vor realer Nutzung anpassen.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2026-08-09T17:18:33.690Z</dcterms:created>
  <dcterms:modified xsi:type="dcterms:W3CDTF">2026-08-09T17:18:33.712Z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