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A8796" w14:textId="77777777" w:rsidR="008E5A22" w:rsidRDefault="008E5A22">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5B803239" w14:textId="77777777" w:rsidR="008E5A22" w:rsidRDefault="008E5A22">
      <w:pPr>
        <w:pStyle w:val="NormalWeb"/>
        <w:rPr>
          <w:rFonts w:ascii="Arial" w:hAnsi="Arial" w:cs="Arial"/>
          <w:sz w:val="21"/>
          <w:szCs w:val="21"/>
        </w:rPr>
      </w:pPr>
      <w:r>
        <w:rPr>
          <w:rFonts w:ascii="Arial" w:hAnsi="Arial" w:cs="Arial"/>
          <w:sz w:val="21"/>
          <w:szCs w:val="21"/>
        </w:rPr>
        <w:t> </w:t>
      </w:r>
    </w:p>
    <w:p w14:paraId="60139F67" w14:textId="77777777" w:rsidR="008E5A22" w:rsidRDefault="008E5A22">
      <w:pPr>
        <w:pStyle w:val="NormalWeb"/>
        <w:rPr>
          <w:rFonts w:ascii="Arial" w:hAnsi="Arial" w:cs="Arial"/>
          <w:sz w:val="21"/>
          <w:szCs w:val="21"/>
        </w:rPr>
      </w:pPr>
      <w:r>
        <w:rPr>
          <w:rFonts w:ascii="Arial" w:hAnsi="Arial" w:cs="Arial"/>
          <w:sz w:val="21"/>
          <w:szCs w:val="21"/>
        </w:rPr>
        <w:t> </w:t>
      </w:r>
    </w:p>
    <w:p w14:paraId="6BD7256E" w14:textId="77777777" w:rsidR="008E5A22" w:rsidRDefault="008E5A22">
      <w:pPr>
        <w:pStyle w:val="NormalWeb"/>
        <w:rPr>
          <w:rFonts w:ascii="Arial" w:hAnsi="Arial" w:cs="Arial"/>
          <w:sz w:val="21"/>
          <w:szCs w:val="21"/>
        </w:rPr>
      </w:pPr>
      <w:r>
        <w:rPr>
          <w:rFonts w:ascii="Arial" w:hAnsi="Arial" w:cs="Arial"/>
          <w:sz w:val="21"/>
          <w:szCs w:val="21"/>
        </w:rPr>
        <w:t> </w:t>
      </w:r>
    </w:p>
    <w:p w14:paraId="37C3E632" w14:textId="77777777" w:rsidR="008E5A22" w:rsidRDefault="008E5A22">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7162E21B" w14:textId="77777777" w:rsidR="008E5A22" w:rsidRDefault="008E5A22">
      <w:pPr>
        <w:pStyle w:val="NormalWeb"/>
        <w:rPr>
          <w:rFonts w:ascii="Arial" w:hAnsi="Arial" w:cs="Arial"/>
          <w:sz w:val="21"/>
          <w:szCs w:val="21"/>
        </w:rPr>
      </w:pPr>
      <w:r>
        <w:rPr>
          <w:rFonts w:ascii="Arial" w:hAnsi="Arial" w:cs="Arial"/>
          <w:sz w:val="21"/>
          <w:szCs w:val="21"/>
        </w:rPr>
        <w:t> </w:t>
      </w:r>
    </w:p>
    <w:p w14:paraId="79890CC2" w14:textId="77777777" w:rsidR="008E5A22" w:rsidRDefault="008E5A22">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Pr</w:t>
      </w:r>
      <w:r>
        <w:rPr>
          <w:rFonts w:ascii="Arial" w:hAnsi="Arial" w:cs="Arial"/>
          <w:b/>
          <w:bCs/>
          <w:sz w:val="26"/>
          <w:szCs w:val="26"/>
          <w:vertAlign w:val="subscript"/>
        </w:rPr>
        <w:t>1-x</w:t>
      </w:r>
      <w:r>
        <w:rPr>
          <w:rFonts w:ascii="Arial" w:hAnsi="Arial" w:cs="Arial"/>
          <w:b/>
          <w:bCs/>
          <w:sz w:val="26"/>
          <w:szCs w:val="26"/>
        </w:rPr>
        <w:t>Ca</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w:t>
      </w:r>
      <w:r>
        <w:rPr>
          <w:rFonts w:ascii="Arial" w:hAnsi="Arial" w:cs="Arial"/>
          <w:b/>
          <w:bCs/>
          <w:sz w:val="26"/>
          <w:szCs w:val="26"/>
        </w:rPr>
        <w:t xml:space="preserve"> Model Series</w:t>
      </w:r>
    </w:p>
    <w:p w14:paraId="19BB5E7F" w14:textId="77777777" w:rsidR="008E5A22" w:rsidRDefault="008E5A22">
      <w:pPr>
        <w:pStyle w:val="NormalWeb"/>
        <w:rPr>
          <w:rFonts w:ascii="Arial" w:hAnsi="Arial" w:cs="Arial"/>
          <w:sz w:val="21"/>
          <w:szCs w:val="21"/>
        </w:rPr>
      </w:pPr>
      <w:r>
        <w:rPr>
          <w:rFonts w:ascii="Arial" w:hAnsi="Arial" w:cs="Arial"/>
          <w:sz w:val="21"/>
          <w:szCs w:val="21"/>
        </w:rPr>
        <w:t> </w:t>
      </w:r>
    </w:p>
    <w:p w14:paraId="4424F6E4" w14:textId="77777777" w:rsidR="008E5A22" w:rsidRDefault="008E5A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C50C01" w14:paraId="74384540"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2070FA"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B131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C50C01" w14:paraId="2855AC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597AB"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858D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Dr. William C. Chueh, Department of Materials Science and Engineering, Stanford University, USA – Friedrich Wilhelm Bessel Research Award winner of the AvH Foundation (2021), member of the Humboldt Network</w:t>
            </w:r>
          </w:p>
        </w:tc>
      </w:tr>
      <w:tr w:rsidR="00C50C01" w14:paraId="050C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255"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95EF2"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C50C01" w14:paraId="13962F9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DBE2"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803C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C50C01" w14:paraId="2C01BA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C70A0"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969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C50C01" w14:paraId="422873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B8167"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B02FD9"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4D442B3" w14:textId="77777777" w:rsidR="008E5A22" w:rsidRDefault="008E5A22">
      <w:pPr>
        <w:pStyle w:val="NormalWeb"/>
        <w:rPr>
          <w:rFonts w:ascii="Arial" w:hAnsi="Arial" w:cs="Arial"/>
          <w:sz w:val="21"/>
          <w:szCs w:val="21"/>
        </w:rPr>
      </w:pPr>
      <w:r>
        <w:rPr>
          <w:rFonts w:ascii="Arial" w:hAnsi="Arial" w:cs="Arial"/>
          <w:sz w:val="21"/>
          <w:szCs w:val="21"/>
        </w:rPr>
        <w:t> </w:t>
      </w:r>
    </w:p>
    <w:p w14:paraId="7E0FA4D7" w14:textId="77777777" w:rsidR="008E5A22" w:rsidRDefault="008E5A22">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3933C7D0" w14:textId="77777777" w:rsidR="008E5A22" w:rsidRDefault="008E5A22">
      <w:pPr>
        <w:pStyle w:val="Heading1"/>
        <w:pageBreakBefore/>
        <w:rPr>
          <w:rFonts w:ascii="Arial" w:eastAsia="Times New Roman" w:hAnsi="Arial" w:cs="Arial"/>
        </w:rPr>
      </w:pPr>
      <w:r>
        <w:rPr>
          <w:rFonts w:ascii="Arial" w:eastAsia="Times New Roman" w:hAnsi="Arial" w:cs="Arial"/>
        </w:rPr>
        <w:lastRenderedPageBreak/>
        <w:t>Research Proposal (Exposé)</w:t>
      </w:r>
    </w:p>
    <w:p w14:paraId="12854C35" w14:textId="77777777" w:rsidR="008E5A22" w:rsidRDefault="008E5A22">
      <w:pPr>
        <w:pStyle w:val="Heading2"/>
        <w:rPr>
          <w:rFonts w:ascii="Arial" w:eastAsia="Times New Roman" w:hAnsi="Arial" w:cs="Arial"/>
        </w:rPr>
      </w:pPr>
      <w:r>
        <w:rPr>
          <w:rFonts w:ascii="Arial" w:eastAsia="Times New Roman" w:hAnsi="Arial" w:cs="Arial"/>
        </w:rPr>
        <w:t>1  Research question and scientific significance</w:t>
      </w:r>
    </w:p>
    <w:p w14:paraId="1EC95856" w14:textId="77777777" w:rsidR="008E5A22" w:rsidRDefault="008E5A22">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series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best-documented perovskite memristor family.</w:t>
      </w:r>
    </w:p>
    <w:p w14:paraId="2D4E8EDF" w14:textId="77777777" w:rsidR="008E5A22" w:rsidRDefault="008E5A22">
      <w:pPr>
        <w:pStyle w:val="NormalWeb"/>
        <w:rPr>
          <w:rFonts w:ascii="Arial" w:hAnsi="Arial" w:cs="Arial"/>
          <w:sz w:val="21"/>
          <w:szCs w:val="21"/>
        </w:rPr>
      </w:pPr>
      <w:r>
        <w:rPr>
          <w:rFonts w:ascii="Arial" w:hAnsi="Arial" w:cs="Arial"/>
          <w:sz w:val="21"/>
          <w:szCs w:val="21"/>
        </w:rPr>
        <w:t xml:space="preserve">PCMO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 axis is established:</w:t>
      </w:r>
      <w:r>
        <w:rPr>
          <w:rFonts w:ascii="Arial" w:hAnsi="Arial" w:cs="Arial"/>
          <w:sz w:val="21"/>
          <w:szCs w:val="21"/>
        </w:rPr>
        <w:t xml:space="preserve"> Ca</w:t>
      </w:r>
      <w:r>
        <w:rPr>
          <w:rFonts w:ascii="Arial" w:hAnsi="Arial" w:cs="Arial"/>
          <w:sz w:val="21"/>
          <w:szCs w:val="21"/>
          <w:vertAlign w:val="superscript"/>
        </w:rPr>
        <w:t>2+</w:t>
      </w:r>
      <w:r>
        <w:rPr>
          <w:rFonts w:ascii="Arial" w:hAnsi="Arial" w:cs="Arial"/>
          <w:sz w:val="21"/>
          <w:szCs w:val="21"/>
        </w:rPr>
        <w:t xml:space="preserve"> substitution dopes holes with substantial O-2p character into the mixed-valent Mn</w:t>
      </w:r>
      <w:r>
        <w:rPr>
          <w:rFonts w:ascii="Arial" w:hAnsi="Arial" w:cs="Arial"/>
          <w:sz w:val="21"/>
          <w:szCs w:val="21"/>
          <w:vertAlign w:val="superscript"/>
        </w:rPr>
        <w:t>3+</w:t>
      </w:r>
      <w:r>
        <w:rPr>
          <w:rFonts w:ascii="Arial" w:hAnsi="Arial" w:cs="Arial"/>
          <w:sz w:val="21"/>
          <w:szCs w:val="21"/>
        </w:rPr>
        <w:t>/Mn</w:t>
      </w:r>
      <w:r>
        <w:rPr>
          <w:rFonts w:ascii="Arial" w:hAnsi="Arial" w:cs="Arial"/>
          <w:sz w:val="21"/>
          <w:szCs w:val="21"/>
          <w:vertAlign w:val="superscript"/>
        </w:rPr>
        <w:t>4+</w:t>
      </w:r>
      <w:r>
        <w:rPr>
          <w:rFonts w:ascii="Arial" w:hAnsi="Arial" w:cs="Arial"/>
          <w:sz w:val="21"/>
          <w:szCs w:val="21"/>
        </w:rPr>
        <w:t xml:space="preserve"> system; the resulting increase of Mn3d–O2p hybridisation with x is directly measurable at the O-K edge and has recently been quantified across the PCMO series in the electrocatalysis context [9] – precisely the descriptor knowledge this project transfers to memristive switching, with the classic manganite X-ray absorption literature as calibration base [10, 11]. </w:t>
      </w:r>
      <w:r>
        <w:rPr>
          <w:rFonts w:ascii="Arial" w:hAnsi="Arial" w:cs="Arial"/>
          <w:b/>
          <w:bCs/>
          <w:sz w:val="21"/>
          <w:szCs w:val="21"/>
        </w:rPr>
        <w:t>(ii) The switching axis is established:</w:t>
      </w:r>
      <w:r>
        <w:rPr>
          <w:rFonts w:ascii="Arial" w:hAnsi="Arial" w:cs="Arial"/>
          <w:sz w:val="21"/>
          <w:szCs w:val="21"/>
        </w:rPr>
        <w:t xml:space="preserve"> PCMO delivered the first perovskite ReRAM demonstrations [12, 13], its interface redox mechanism is spectroscopically proven [14], and the field is comprehensively mapped in my first-author Chemical Reviews article [E2]. Crucially, the </w:t>
      </w:r>
      <w:r>
        <w:rPr>
          <w:rFonts w:ascii="Arial" w:hAnsi="Arial" w:cs="Arial"/>
          <w:i/>
          <w:iCs/>
          <w:sz w:val="21"/>
          <w:szCs w:val="21"/>
        </w:rPr>
        <w:t>only complete composition-resolved switching study in the entire perovskite ReRAM literature</w:t>
      </w:r>
      <w:r>
        <w:rPr>
          <w:rFonts w:ascii="Arial" w:hAnsi="Arial" w:cs="Arial"/>
          <w:sz w:val="21"/>
          <w:szCs w:val="21"/>
        </w:rPr>
        <w:t xml:space="preserve"> exists for PCMO: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Ca range and found a pronounced maximum of the switching ratio at x ≈ 0.4, with switching disappearing for x &gt; 0.8 [16] – a striking result that has remained without a materials-descriptor explanation for over fifteen years. </w:t>
      </w:r>
      <w:r>
        <w:rPr>
          <w:rFonts w:ascii="Arial" w:hAnsi="Arial" w:cs="Arial"/>
          <w:b/>
          <w:bCs/>
          <w:sz w:val="21"/>
          <w:szCs w:val="21"/>
        </w:rPr>
        <w:t>(iii) The mechanism is stable across the series:</w:t>
      </w:r>
      <w:r>
        <w:rPr>
          <w:rFonts w:ascii="Arial" w:hAnsi="Arial" w:cs="Arial"/>
          <w:sz w:val="21"/>
          <w:szCs w:val="21"/>
        </w:rPr>
        <w:t xml:space="preserve">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w:t>
      </w:r>
      <w:r>
        <w:rPr>
          <w:rFonts w:ascii="Arial" w:hAnsi="Arial" w:cs="Arial"/>
          <w:i/>
          <w:iCs/>
          <w:sz w:val="21"/>
          <w:szCs w:val="21"/>
        </w:rPr>
        <w:t>is</w:t>
      </w:r>
      <w:r>
        <w:rPr>
          <w:rFonts w:ascii="Arial" w:hAnsi="Arial" w:cs="Arial"/>
          <w:sz w:val="21"/>
          <w:szCs w:val="21"/>
        </w:rPr>
        <w:t xml:space="preserve"> the covalency optimum (“Goldilocks zone”) – and its position can be predicted from an experimentally measured XAS covalency descriptor. This project adds the missing descriptor axis to the established switching axis; related composition series [15, 17] serve as consistency checks.</w:t>
      </w:r>
    </w:p>
    <w:p w14:paraId="39CBBA42" w14:textId="77777777" w:rsidR="008E5A22" w:rsidRDefault="008E5A22">
      <w:pPr>
        <w:pStyle w:val="Heading2"/>
        <w:rPr>
          <w:rFonts w:ascii="Arial" w:eastAsia="Times New Roman" w:hAnsi="Arial" w:cs="Arial"/>
        </w:rPr>
      </w:pPr>
      <w:r>
        <w:rPr>
          <w:rFonts w:ascii="Arial" w:eastAsia="Times New Roman" w:hAnsi="Arial" w:cs="Arial"/>
        </w:rPr>
        <w:t>2  Why the Chueh group at Stanford is the ideal place</w:t>
      </w:r>
    </w:p>
    <w:p w14:paraId="57B5471F" w14:textId="77777777" w:rsidR="008E5A22" w:rsidRDefault="008E5A22">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60766599" w14:textId="77777777" w:rsidR="008E5A22" w:rsidRDefault="008E5A22">
      <w:pPr>
        <w:pStyle w:val="Heading2"/>
        <w:rPr>
          <w:rFonts w:ascii="Arial" w:eastAsia="Times New Roman" w:hAnsi="Arial" w:cs="Arial"/>
        </w:rPr>
      </w:pPr>
      <w:r>
        <w:rPr>
          <w:rFonts w:ascii="Arial" w:eastAsia="Times New Roman" w:hAnsi="Arial" w:cs="Arial"/>
        </w:rPr>
        <w:t>3  Work programme (24 months)</w:t>
      </w:r>
    </w:p>
    <w:p w14:paraId="392489A8" w14:textId="77777777" w:rsidR="008E5A22" w:rsidRDefault="008E5A22">
      <w:pPr>
        <w:pStyle w:val="Heading3"/>
        <w:rPr>
          <w:rFonts w:ascii="Arial" w:eastAsia="Times New Roman" w:hAnsi="Arial" w:cs="Arial"/>
        </w:rPr>
      </w:pPr>
      <w:r>
        <w:rPr>
          <w:rFonts w:ascii="Arial" w:eastAsia="Times New Roman" w:hAnsi="Arial" w:cs="Arial"/>
        </w:rPr>
        <w:t>WP1 – Synthesis and descriptor measurement of the PCMO series (months 1–10)</w:t>
      </w:r>
    </w:p>
    <w:p w14:paraId="49C1BB29" w14:textId="77777777" w:rsidR="008E5A22" w:rsidRDefault="008E5A22">
      <w:pPr>
        <w:pStyle w:val="NormalWeb"/>
        <w:rPr>
          <w:rFonts w:ascii="Arial" w:hAnsi="Arial" w:cs="Arial"/>
          <w:sz w:val="21"/>
          <w:szCs w:val="21"/>
        </w:rPr>
      </w:pPr>
      <w:r>
        <w:rPr>
          <w:rFonts w:ascii="Arial" w:hAnsi="Arial" w:cs="Arial"/>
          <w:sz w:val="21"/>
          <w:szCs w:val="21"/>
        </w:rPr>
        <w:t>PLD growth of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films (x = 0.1; 0.2; 0.3; 0.4; 0.5; 0.65; 0.8 – dense sampling around the reported switching optimum at x ≈ 0.4 and up to the x &gt; 0.8 regime where switching reportedly vanishes [16])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2835F886" w14:textId="77777777" w:rsidR="008E5A22" w:rsidRDefault="008E5A22">
      <w:pPr>
        <w:pStyle w:val="Heading3"/>
        <w:rPr>
          <w:rFonts w:ascii="Arial" w:eastAsia="Times New Roman" w:hAnsi="Arial" w:cs="Arial"/>
        </w:rPr>
      </w:pPr>
      <w:r>
        <w:rPr>
          <w:rFonts w:ascii="Arial" w:eastAsia="Times New Roman" w:hAnsi="Arial" w:cs="Arial"/>
        </w:rPr>
        <w:t>WP2 – Devices and switching characterisation (months 8–18)</w:t>
      </w:r>
    </w:p>
    <w:p w14:paraId="398C0459" w14:textId="77777777" w:rsidR="008E5A22" w:rsidRDefault="008E5A22">
      <w:pPr>
        <w:pStyle w:val="NormalWeb"/>
        <w:rPr>
          <w:rFonts w:ascii="Arial" w:hAnsi="Arial" w:cs="Arial"/>
          <w:sz w:val="21"/>
          <w:szCs w:val="21"/>
        </w:rPr>
      </w:pPr>
      <w:r>
        <w:rPr>
          <w:rFonts w:ascii="Arial" w:hAnsi="Arial" w:cs="Arial"/>
          <w:sz w:val="21"/>
          <w:szCs w:val="21"/>
        </w:rPr>
        <w:t xml:space="preserve">Two device flavours per composition, processed photolithographically with ≥ 30 nominally identical cells each: (i) a </w:t>
      </w:r>
      <w:r>
        <w:rPr>
          <w:rFonts w:ascii="Arial" w:hAnsi="Arial" w:cs="Arial"/>
          <w:i/>
          <w:iCs/>
          <w:sz w:val="21"/>
          <w:szCs w:val="21"/>
        </w:rPr>
        <w:t>benchmark geometry</w:t>
      </w:r>
      <w:r>
        <w:rPr>
          <w:rFonts w:ascii="Arial" w:hAnsi="Arial" w:cs="Arial"/>
          <w:sz w:val="21"/>
          <w:szCs w:val="21"/>
        </w:rPr>
        <w:t xml:space="preserve"> with reactive Ti top electrodes reproducing the Asanuma configuration [16] for direct quantitative comparability with the published switching-vs-x dataset, and (ii) a </w:t>
      </w:r>
      <w:r>
        <w:rPr>
          <w:rFonts w:ascii="Arial" w:hAnsi="Arial" w:cs="Arial"/>
          <w:i/>
          <w:iCs/>
          <w:sz w:val="21"/>
          <w:szCs w:val="21"/>
        </w:rPr>
        <w:t>clean geometry</w:t>
      </w:r>
      <w:r>
        <w:rPr>
          <w:rFonts w:ascii="Arial" w:hAnsi="Arial" w:cs="Arial"/>
          <w:sz w:val="21"/>
          <w:szCs w:val="21"/>
        </w:rPr>
        <w:t xml:space="preserve"> with inert Pt top electrodes on Nb:SrTiO</w:t>
      </w:r>
      <w:r>
        <w:rPr>
          <w:rFonts w:ascii="Arial" w:hAnsi="Arial" w:cs="Arial"/>
          <w:sz w:val="21"/>
          <w:szCs w:val="21"/>
          <w:vertAlign w:val="subscript"/>
        </w:rPr>
        <w:t>3</w:t>
      </w:r>
      <w:r>
        <w:rPr>
          <w:rFonts w:ascii="Arial" w:hAnsi="Arial" w:cs="Arial"/>
          <w:sz w:val="21"/>
          <w:szCs w:val="21"/>
        </w:rPr>
        <w:t xml:space="preserve">, isolating the covalency effect from reactive-electrode interface chemistry [14].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in both geometries, with robust statistics.</w:t>
      </w:r>
    </w:p>
    <w:p w14:paraId="4B8F91BD" w14:textId="77777777" w:rsidR="008E5A22" w:rsidRDefault="008E5A22">
      <w:pPr>
        <w:pStyle w:val="Heading3"/>
        <w:rPr>
          <w:rFonts w:ascii="Arial" w:eastAsia="Times New Roman" w:hAnsi="Arial" w:cs="Arial"/>
        </w:rPr>
      </w:pPr>
      <w:r>
        <w:rPr>
          <w:rFonts w:ascii="Arial" w:eastAsia="Times New Roman" w:hAnsi="Arial" w:cs="Arial"/>
        </w:rPr>
        <w:t>WP3 – Correlation, operando validation and publication (months 16–24)</w:t>
      </w:r>
    </w:p>
    <w:p w14:paraId="5DD6DD78" w14:textId="77777777" w:rsidR="008E5A22" w:rsidRDefault="008E5A22">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16FB2E52" w14:textId="77777777" w:rsidR="008E5A22" w:rsidRDefault="008E5A22">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C50C01" w14:paraId="515A1BA6"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2CBE9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89815D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D8AF6C0"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7292A8B"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1520E01"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3F031B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0AF8B1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9782D92"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279450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C50C01" w14:paraId="760651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E37DA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5955E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4142A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A6E24D"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47186"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3FB73"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20F1F"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ACF6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3BCFF" w14:textId="77777777" w:rsidR="008E5A22" w:rsidRDefault="008E5A22">
            <w:pPr>
              <w:spacing w:before="120" w:after="200"/>
              <w:jc w:val="center"/>
              <w:rPr>
                <w:rFonts w:eastAsia="Times New Roman"/>
                <w:sz w:val="20"/>
                <w:szCs w:val="20"/>
              </w:rPr>
            </w:pPr>
          </w:p>
        </w:tc>
      </w:tr>
      <w:tr w:rsidR="00C50C01" w14:paraId="792BD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4181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9D521F"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43D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94D04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079D5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2C197A"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DA355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DF4AB"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033B1" w14:textId="77777777" w:rsidR="008E5A22" w:rsidRDefault="008E5A22">
            <w:pPr>
              <w:spacing w:before="120" w:after="200"/>
              <w:jc w:val="center"/>
              <w:rPr>
                <w:rFonts w:eastAsia="Times New Roman"/>
                <w:sz w:val="20"/>
                <w:szCs w:val="20"/>
              </w:rPr>
            </w:pPr>
          </w:p>
        </w:tc>
      </w:tr>
      <w:tr w:rsidR="00C50C01" w14:paraId="31A08DB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38A55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ADC49"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197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A8E81"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A9D244"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F447A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DC069"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B67D1"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4A9770"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76959DA" w14:textId="77777777" w:rsidR="008E5A22" w:rsidRDefault="008E5A22">
      <w:pPr>
        <w:pStyle w:val="Heading2"/>
        <w:rPr>
          <w:rFonts w:ascii="Arial" w:eastAsia="Times New Roman" w:hAnsi="Arial" w:cs="Arial"/>
        </w:rPr>
      </w:pPr>
      <w:r>
        <w:rPr>
          <w:rFonts w:ascii="Arial" w:eastAsia="Times New Roman" w:hAnsi="Arial" w:cs="Arial"/>
        </w:rPr>
        <w:t>5  Career perspective and return strategy</w:t>
      </w:r>
    </w:p>
    <w:p w14:paraId="1FA8FF20" w14:textId="77777777" w:rsidR="008E5A22" w:rsidRDefault="008E5A22">
      <w:pPr>
        <w:pStyle w:val="NormalWeb"/>
        <w:rPr>
          <w:rFonts w:ascii="Arial" w:hAnsi="Arial" w:cs="Arial"/>
          <w:sz w:val="21"/>
          <w:szCs w:val="21"/>
        </w:rPr>
      </w:pPr>
      <w:r>
        <w:rPr>
          <w:rFonts w:ascii="Arial" w:hAnsi="Arial" w:cs="Arial"/>
          <w:sz w:val="21"/>
          <w:szCs w:val="21"/>
        </w:rPr>
        <w:t>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PCMO dataset) for the larger programme of a “treasure map” of memristive oxides in analogy to the bonding-descriptor maps of Wuttig et al. [21]. The choice of the mechanism-stable PCMO family for this fellowship is deliberate: it de-risks the descriptor methodology on the cleanest possible system; the subsequent group programme then scales it to the ferrite and cobaltite families, where topotactic phase transitions are no longer a confounder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31503D13" w14:textId="77777777" w:rsidR="008E5A22" w:rsidRDefault="008E5A22">
      <w:pPr>
        <w:pStyle w:val="Heading2"/>
        <w:rPr>
          <w:rFonts w:ascii="Arial" w:eastAsia="Times New Roman" w:hAnsi="Arial" w:cs="Arial"/>
        </w:rPr>
      </w:pPr>
      <w:r>
        <w:rPr>
          <w:rFonts w:ascii="Arial" w:eastAsia="Times New Roman" w:hAnsi="Arial" w:cs="Arial"/>
        </w:rPr>
        <w:t>6  References</w:t>
      </w:r>
    </w:p>
    <w:p w14:paraId="6E43E28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 R. Waser, M. Aono, Nanoionics-based resistive switching memories. Nature Materials 6, 833–840 (2007).</w:t>
      </w:r>
    </w:p>
    <w:p w14:paraId="3D576DED" w14:textId="77777777" w:rsidR="008E5A22" w:rsidRDefault="008E5A22">
      <w:pPr>
        <w:spacing w:after="60"/>
        <w:ind w:hanging="480"/>
        <w:divId w:val="207365308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E20FF2D" w14:textId="77777777" w:rsidR="008E5A22" w:rsidRDefault="008E5A22">
      <w:pPr>
        <w:spacing w:after="60"/>
        <w:ind w:hanging="480"/>
        <w:divId w:val="207365308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2EA58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3571F48" w14:textId="77777777" w:rsidR="008E5A22" w:rsidRDefault="008E5A22">
      <w:pPr>
        <w:spacing w:after="60"/>
        <w:ind w:hanging="480"/>
        <w:divId w:val="2073653082"/>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20580498" w14:textId="77777777" w:rsidR="008E5A22" w:rsidRDefault="008E5A22">
      <w:pPr>
        <w:spacing w:after="60"/>
        <w:ind w:hanging="480"/>
        <w:divId w:val="2073653082"/>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6BB50339" w14:textId="77777777" w:rsidR="008E5A22" w:rsidRDefault="008E5A22">
      <w:pPr>
        <w:spacing w:after="60"/>
        <w:ind w:hanging="480"/>
        <w:divId w:val="2073653082"/>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A4990E7" w14:textId="77777777" w:rsidR="008E5A22" w:rsidRDefault="008E5A22">
      <w:pPr>
        <w:spacing w:after="60"/>
        <w:ind w:hanging="480"/>
        <w:divId w:val="2073653082"/>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1348B6AD" w14:textId="00D7E6F7" w:rsidR="008E5A22" w:rsidRDefault="008E5A22">
      <w:pPr>
        <w:spacing w:after="60"/>
        <w:ind w:hanging="480"/>
        <w:divId w:val="2073653082"/>
        <w:rPr>
          <w:rFonts w:ascii="Arial" w:hAnsi="Arial" w:cs="Arial"/>
          <w:sz w:val="18"/>
          <w:szCs w:val="18"/>
        </w:rPr>
      </w:pPr>
      <w:r>
        <w:rPr>
          <w:rFonts w:ascii="Arial" w:hAnsi="Arial" w:cs="Arial"/>
          <w:sz w:val="18"/>
          <w:szCs w:val="18"/>
        </w:rPr>
        <w:t>[9] Contrasting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OER Catalysts with Different Valences and Covalences. </w:t>
      </w:r>
      <w:r w:rsidR="00C37513">
        <w:rPr>
          <w:rFonts w:ascii="Arial" w:hAnsi="Arial" w:cs="Arial"/>
          <w:sz w:val="18"/>
          <w:szCs w:val="18"/>
        </w:rPr>
        <w:t>The Journal of Physical Chemistry C 127, 177-186 (2023; online 2022), DOI 10.1021/acs.jpcc.2c05622. Lole, Ebrahimi, Meyer et al. [verify full author list]</w:t>
      </w:r>
      <w:r>
        <w:rPr>
          <w:rFonts w:ascii="Arial" w:hAnsi="Arial" w:cs="Arial"/>
          <w:sz w:val="18"/>
          <w:szCs w:val="18"/>
        </w:rPr>
        <w:t>.</w:t>
      </w:r>
    </w:p>
    <w:p w14:paraId="6794CC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527B4F1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5F974428" w14:textId="77777777" w:rsidR="008E5A22" w:rsidRDefault="008E5A22">
      <w:pPr>
        <w:spacing w:after="60"/>
        <w:ind w:hanging="480"/>
        <w:divId w:val="2073653082"/>
        <w:rPr>
          <w:rFonts w:ascii="Arial" w:hAnsi="Arial" w:cs="Arial"/>
          <w:sz w:val="18"/>
          <w:szCs w:val="18"/>
        </w:rPr>
      </w:pPr>
      <w:r>
        <w:rPr>
          <w:rFonts w:ascii="Arial" w:hAnsi="Arial" w:cs="Arial"/>
          <w:sz w:val="18"/>
          <w:szCs w:val="18"/>
        </w:rPr>
        <w:t>[12] S. Q. Liu, N. J. Wu, A. Ignatiev, Electric-pulse-induced reversible resistance change effect in magnetoresistive films. Applied Physics Letters 76, 2749–2751 (2000).</w:t>
      </w:r>
    </w:p>
    <w:p w14:paraId="491EA1F3" w14:textId="77777777" w:rsidR="008E5A22" w:rsidRDefault="008E5A22">
      <w:pPr>
        <w:spacing w:after="60"/>
        <w:ind w:hanging="480"/>
        <w:divId w:val="2073653082"/>
        <w:rPr>
          <w:rFonts w:ascii="Arial" w:hAnsi="Arial" w:cs="Arial"/>
          <w:sz w:val="18"/>
          <w:szCs w:val="18"/>
        </w:rPr>
      </w:pPr>
      <w:r>
        <w:rPr>
          <w:rFonts w:ascii="Arial" w:hAnsi="Arial" w:cs="Arial"/>
          <w:sz w:val="18"/>
          <w:szCs w:val="18"/>
        </w:rPr>
        <w:t>[13] A. Sawa, T. Fujii, M. Kawasaki, Y. Tokura, Hysteretic current–voltage characteristics and resistance switching at a rectifying Ti/Pr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interface. Applied Physics Letters 85, 4073–4075 (2004).</w:t>
      </w:r>
    </w:p>
    <w:p w14:paraId="3737C4F0" w14:textId="77777777" w:rsidR="008E5A22" w:rsidRDefault="008E5A22">
      <w:pPr>
        <w:spacing w:after="60"/>
        <w:ind w:hanging="480"/>
        <w:divId w:val="2073653082"/>
        <w:rPr>
          <w:rFonts w:ascii="Arial" w:hAnsi="Arial" w:cs="Arial"/>
          <w:sz w:val="18"/>
          <w:szCs w:val="18"/>
        </w:rPr>
      </w:pPr>
      <w:r>
        <w:rPr>
          <w:rFonts w:ascii="Arial" w:hAnsi="Arial" w:cs="Arial"/>
          <w:sz w:val="18"/>
          <w:szCs w:val="18"/>
        </w:rPr>
        <w:t>[14]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718B06F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D976BD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5116B87" w14:textId="77777777" w:rsidR="008E5A22" w:rsidRDefault="008E5A22">
      <w:pPr>
        <w:spacing w:after="60"/>
        <w:ind w:hanging="480"/>
        <w:divId w:val="2073653082"/>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7856F215" w14:textId="77777777" w:rsidR="008E5A22" w:rsidRDefault="008E5A22">
      <w:pPr>
        <w:spacing w:after="60"/>
        <w:ind w:hanging="480"/>
        <w:divId w:val="2073653082"/>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A91F9E1" w14:textId="77777777" w:rsidR="008E5A22" w:rsidRDefault="008E5A22">
      <w:pPr>
        <w:spacing w:after="60"/>
        <w:ind w:hanging="480"/>
        <w:divId w:val="2073653082"/>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0D2BF619" w14:textId="77777777" w:rsidR="008E5A22" w:rsidRDefault="008E5A22">
      <w:pPr>
        <w:spacing w:after="60"/>
        <w:ind w:hanging="480"/>
        <w:divId w:val="2073653082"/>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6A8CC9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14:paraId="3629FB22" w14:textId="77777777" w:rsidR="008E5A22" w:rsidRDefault="008E5A22">
      <w:pPr>
        <w:spacing w:after="60"/>
        <w:ind w:hanging="480"/>
        <w:divId w:val="2073653082"/>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3940F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322458" w14:textId="77777777" w:rsidR="008E5A22" w:rsidRDefault="008E5A22">
      <w:pPr>
        <w:spacing w:after="60"/>
        <w:ind w:hanging="480"/>
        <w:divId w:val="2073653082"/>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8A93C9B" w14:textId="77777777" w:rsidR="008E5A22" w:rsidRDefault="008E5A22">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C50C01" w14:paraId="21E64BF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F86CAB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11BC87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C50C01" w14:paraId="2923DD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FDB25B"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B007B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C50C01" w14:paraId="07DC35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E59DF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EB31A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C50C01" w14:paraId="51BD59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F3957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9DF6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C50C01" w14:paraId="50CAE2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7009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4E95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C50C01" w14:paraId="42F14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E617E"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ED9AA"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C50C01" w14:paraId="4228F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1BD4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AC5AE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C50C01" w14:paraId="7455DF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B77A2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9F8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1D787D11" w14:textId="77777777" w:rsidR="008E5A22" w:rsidRDefault="008E5A22">
      <w:pPr>
        <w:pStyle w:val="Heading2"/>
        <w:rPr>
          <w:rFonts w:ascii="Arial" w:eastAsia="Times New Roman" w:hAnsi="Arial" w:cs="Arial"/>
        </w:rPr>
      </w:pPr>
      <w:r>
        <w:rPr>
          <w:rFonts w:ascii="Arial" w:eastAsia="Times New Roman" w:hAnsi="Arial" w:cs="Arial"/>
        </w:rPr>
        <w:t>Fellowship benefits (for orientation, as of 2026)</w:t>
      </w:r>
    </w:p>
    <w:p w14:paraId="3262BFBB" w14:textId="77777777" w:rsidR="008E5A22" w:rsidRDefault="008E5A22">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8E5A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534"/>
    <w:rsid w:val="003C7534"/>
    <w:rsid w:val="008E5A22"/>
    <w:rsid w:val="009521A0"/>
    <w:rsid w:val="00B74F8F"/>
    <w:rsid w:val="00C37513"/>
    <w:rsid w:val="00C50C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9E4DB0"/>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653082">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2518</Words>
  <Characters>14353</Characters>
  <Application>Microsoft Office Word</Application>
  <DocSecurity>0</DocSecurity>
  <Lines>119</Lines>
  <Paragraphs>33</Paragraphs>
  <ScaleCrop>false</ScaleCrop>
  <Company/>
  <LinksUpToDate>false</LinksUpToDate>
  <CharactersWithSpaces>16838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3</cp:revision>
  <dcterms:created xsi:type="dcterms:W3CDTF">2026-08-09T14:10:00Z</dcterms:created>
  <dcterms:modified xsi:type="dcterms:W3CDTF">2026-08-09T14:54:00Z</dcterms:modified>
</cp:coreProperties>
</file>