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9334B" w14:textId="77777777" w:rsidR="003F3BFD" w:rsidRDefault="003F3BFD">
      <w:pPr>
        <w:pStyle w:val="Heading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Materialsysteme im Vergleich – Entscheidungsgrundlage für das Antragsportfolio</w:t>
      </w:r>
    </w:p>
    <w:p w14:paraId="3C31AC66" w14:textId="77777777" w:rsidR="003F3BFD" w:rsidRDefault="003F3BFD">
      <w:pPr>
        <w:pStyle w:val="muted"/>
        <w:spacing w:before="0" w:beforeAutospacing="0" w:after="140"/>
        <w:rPr>
          <w:rFonts w:ascii="Arial" w:hAnsi="Arial" w:cs="Arial"/>
        </w:rPr>
      </w:pPr>
      <w:r>
        <w:rPr>
          <w:rFonts w:ascii="Arial" w:hAnsi="Arial" w:cs="Arial"/>
        </w:rPr>
        <w:t>Stand: 09.08.2026. Claude-Code-generiert auf Basis von sieben Literatur-Tiefenrecherchen (~150 verifizierte Referenzen). Alle 19 in diesem Dokument zitierten Arbeiten wurden am 09.08.2026 per Crossref-DOI-Abgleich verifiziert (Titel, Journal, Band, Seiten, Jahr, Erstautoren); die inhaltlichen Aussagen selbst sind weiterhin nicht gegengeprüft. Jeder Materialordner (Material_1 … Material_5) enthält ein vollstä</w:t>
      </w:r>
      <w:r>
        <w:rPr>
          <w:rFonts w:ascii="Arial" w:hAnsi="Arial" w:cs="Arial"/>
        </w:rPr>
        <w:t>ndiges, individuell angepasstes Antragsset: Feodor-Lynen-Exposé (Pilotprojekt bei Chueh/Stanford), ERC Starting Grant (COVMAP) und DFG Emmy Noether (COMET-Ox), jeweils mit dem betreffenden System als Lynen-Pilotmaterial.</w:t>
      </w:r>
    </w:p>
    <w:p w14:paraId="58AF8AF6" w14:textId="77777777" w:rsidR="003F3BFD" w:rsidRDefault="003F3BFD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Kurzübersicht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641"/>
        <w:gridCol w:w="2211"/>
        <w:gridCol w:w="2152"/>
        <w:gridCol w:w="2161"/>
        <w:gridCol w:w="1441"/>
      </w:tblGrid>
      <w:tr w:rsidR="00000000" w14:paraId="739733A5" w14:textId="77777777">
        <w:tc>
          <w:tcPr>
            <w:tcW w:w="7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2EB43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System</w:t>
            </w:r>
          </w:p>
        </w:tc>
        <w:tc>
          <w:tcPr>
            <w:tcW w:w="8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B858C3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Kovalenz-Achse (Literatur)</w:t>
            </w:r>
          </w:p>
        </w:tc>
        <w:tc>
          <w:tcPr>
            <w:tcW w:w="8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1E824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Schalt-Achse (Literatur)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A36281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Stärken</w:t>
            </w:r>
          </w:p>
        </w:tc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6B5E5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Schwächen / Risiken</w:t>
            </w:r>
          </w:p>
        </w:tc>
        <w:tc>
          <w:tcPr>
            <w:tcW w:w="6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7CF386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Charakter</w:t>
            </w:r>
          </w:p>
        </w:tc>
      </w:tr>
      <w:tr w:rsidR="00000000" w14:paraId="0239FC2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A5243A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1 – SrTi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1-x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Fe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O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3-δ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 xml:space="preserve"> (STF)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6B6C1B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Defektchemie in geschlossener Form: E</w:t>
            </w:r>
            <w:r>
              <w:rPr>
                <w:rFonts w:ascii="Arial" w:eastAsia="Times New Roman" w:hAnsi="Arial" w:cs="Arial"/>
                <w:sz w:val="18"/>
                <w:szCs w:val="18"/>
                <w:vertAlign w:val="subscript"/>
              </w:rPr>
              <w:t>g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>(x), ΔH</w:t>
            </w:r>
            <w:r>
              <w:rPr>
                <w:rFonts w:ascii="Arial" w:eastAsia="Times New Roman" w:hAnsi="Arial" w:cs="Arial"/>
                <w:sz w:val="18"/>
                <w:szCs w:val="18"/>
                <w:vertAlign w:val="subscript"/>
              </w:rPr>
              <w:t>red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>(x) (Rothschild/Tuller 2006); XAS-Daten über die Reihe (Vračar 2007)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F3A00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Intrinsisch (eightwise, Pt-Elektroden; Muenstermann 2010); Graphen-operando auf identischer Plattform demonstriert (Baeumer 2016)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00E4F3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Einziges System, das alle Kriterien erfüllt: intrinsisch + Graphen-versiegelbar + quantifizierte Deskriptoren + mechanismus-stabil (x ≤ 0,3). Graphen wissenschaftlich notwendig (O-Austausch mit Luftfeuchte sonst nachgewiesen, Heisig 2018)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5BF4AE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Kleinerer E</w:t>
            </w:r>
            <w:r>
              <w:rPr>
                <w:rFonts w:ascii="Arial" w:eastAsia="Times New Roman" w:hAnsi="Arial" w:cs="Arial"/>
                <w:sz w:val="18"/>
                <w:szCs w:val="18"/>
                <w:vertAlign w:val="subscript"/>
              </w:rPr>
              <w:t>V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>-Hub als LSFO; verdünnte Fe-Konzentrationen = subtilere Kovalenzänderungen; Fe:STO ist Jü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>lich-Kernterrain (Abgrenzungsfrage bei Emmy Noether)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C665BE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Empfehlung: sicherste Wahl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 xml:space="preserve"> (risikoarm, sauberste Physik)</w:t>
            </w:r>
          </w:p>
        </w:tc>
      </w:tr>
      <w:tr w:rsidR="00000000" w14:paraId="4AC91B2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8B0B49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2 – Pr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1-x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Ca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MnO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3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 xml:space="preserve"> (PCMO)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3C9BF4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Kovalenz vs. x im OER-Kontext quantifiziert (Lole et al., JPCC 127, 177 (2023)); Manganit-XAS-Basis (Abbate 1992)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7C576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Best-dokumentierter Perowskit-Memristor; einzige komplette x-Serie des Feldes (Asanuma 2009: Optimum x ≈ 0,4)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F04A7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Eigene Kernexpertise (Promotion, Chem.-Rev.-Erstautor); Asanuma-Datensatz als publizierte Benchmark; mechanismus-stabil (isolierend ü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>ber ganze Reihe, kein Brownmillerit)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24AC4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Schaltet allein kaum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 xml:space="preserve"> – braucht reaktive Ti/AlO</w:t>
            </w:r>
            <w:r>
              <w:rPr>
                <w:rFonts w:ascii="Arial" w:eastAsia="Times New Roman" w:hAnsi="Arial" w:cs="Arial"/>
                <w:sz w:val="18"/>
                <w:szCs w:val="18"/>
                <w:vertAlign w:val="subscript"/>
              </w:rPr>
              <w:t>x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>-Elektrode, deren Redoxchemie dominiert (Herpers 2014); inerte Pt-Geometrie = schwaches Schalten; Deskriptorstudie misst ggf. die Grenzfläche statt der Kovalenz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7B21B5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De-Risking-Variante mit bekanntem Confounder</w:t>
            </w:r>
          </w:p>
        </w:tc>
      </w:tr>
      <w:tr w:rsidR="00000000" w14:paraId="357BB2A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23B7DB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3 – La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1-x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Sr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FeO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3-δ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 xml:space="preserve"> (LSFO)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11CBC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Größter dokumentierter E</w:t>
            </w:r>
            <w:r>
              <w:rPr>
                <w:rFonts w:ascii="Arial" w:eastAsia="Times New Roman" w:hAnsi="Arial" w:cs="Arial"/>
                <w:sz w:val="18"/>
                <w:szCs w:val="18"/>
                <w:vertAlign w:val="subscript"/>
              </w:rPr>
              <w:t>V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>-Hub (~4 eV → &lt;1 eV, Ritzmann 2013); klassische Kovalenz-XAS (Abbate 1992)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C81968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Endglieder belegt (SrFeO</w:t>
            </w:r>
            <w:r>
              <w:rPr>
                <w:rFonts w:ascii="Arial" w:eastAsia="Times New Roman" w:hAnsi="Arial" w:cs="Arial"/>
                <w:sz w:val="18"/>
                <w:szCs w:val="18"/>
                <w:vertAlign w:val="subscript"/>
              </w:rPr>
              <w:t>x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 xml:space="preserve"> topotaktisch ON/OFF ~10</w:t>
            </w:r>
            <w:r>
              <w:rPr>
                <w:rFonts w:ascii="Arial" w:eastAsia="Times New Roman" w:hAnsi="Arial" w:cs="Arial"/>
                <w:sz w:val="18"/>
                <w:szCs w:val="18"/>
                <w:vertAlign w:val="superscript"/>
              </w:rPr>
              <w:t>4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>; LaFeO</w:t>
            </w:r>
            <w:r>
              <w:rPr>
                <w:rFonts w:ascii="Arial" w:eastAsia="Times New Roman" w:hAnsi="Arial" w:cs="Arial"/>
                <w:sz w:val="18"/>
                <w:szCs w:val="18"/>
                <w:vertAlign w:val="subscript"/>
              </w:rPr>
              <w:t>3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 xml:space="preserve"> rudimentä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>r); Zwischenkompositionen: keine einzige Memristor-Studie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83A511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Maximale Deskriptor-Spannweite; größte unbesetzte Lücke; Machbarkeitsanker Nizet 2024 (&gt;4 Größenordnungen Leitfähigkeitssteuerung)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60416F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Mechanismuswechsel in der Serie (topotaktischer Brownmillerit-Übergang am Sr-Ende) – Kovalenz nicht überall die einzige Variable; Schalten der Zwischenkompositionen unbewiesen (Explorationsrisiko)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BB2B5E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Größte Lücke, mittleres Risiko</w:t>
            </w:r>
          </w:p>
        </w:tc>
      </w:tr>
      <w:tr w:rsidR="00000000" w14:paraId="72D8828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819405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4 – La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1-x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Sr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MnO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3-δ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 xml:space="preserve"> (LSMO)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187E7A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Kanonisch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 xml:space="preserve">: die Kovalenz-vs.-Dotierung-Spektroskopie wurde auf LSMO 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lastRenderedPageBreak/>
              <w:t>kalibriert (Abbate 1992)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B8CF0F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lastRenderedPageBreak/>
              <w:t xml:space="preserve">Als aktive Schicht belegt (Moreno 2010, Liu 2024, in-situ-TEM Yao 2017); nur eine 3-Punkt-x-Serie 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lastRenderedPageBreak/>
              <w:t>(Choi 2013, gesputtert, reaktive Al-Elektroden)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EC49E3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lastRenderedPageBreak/>
              <w:t xml:space="preserve">Stärkste Spektroskopie-Verankerung; Test der schärfsten Frage: kollabiert das Schaltfenster am 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lastRenderedPageBreak/>
              <w:t>dotierungsgetriebenen Metall-Übergang?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B88B2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lastRenderedPageBreak/>
              <w:t xml:space="preserve">Metallisch ab x ≈ 0,17 → begrenzter HRS/ON-OFF; Metall-Isolator-Übergang quer durch die Serie als zweite 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lastRenderedPageBreak/>
              <w:t>Variable; dünne Schalt-Literatur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17D87A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lastRenderedPageBreak/>
              <w:t>Spektroskopie-Anker, physikalisch anspruchsvoll</w:t>
            </w:r>
          </w:p>
        </w:tc>
      </w:tr>
      <w:tr w:rsidR="00000000" w14:paraId="3584D8B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15714D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5 – La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2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NiO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4+δ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 xml:space="preserve"> / La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2-x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Sr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NiO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  <w:vertAlign w:val="subscript"/>
              </w:rPr>
              <w:t>4</w:t>
            </w: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 xml:space="preserve"> (LNO)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A89096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Kanonische Ligandenloch-XAS der Sr-Reihe (Kuiper/Sawatzky 1991); δ spektroskopisch quantifizierbar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BF767A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Formierfrei/analog demonstriert (Khuu 2022); δ-Serie wählt Mechanismus (Koroleva 2024); operando-VCM belegt (2025) – aber alle Devices mit reaktiver TiN-Interlayer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0F1B4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 xml:space="preserve">Sauerstoffreservoir liegt </w:t>
            </w:r>
            <w:r>
              <w:rPr>
                <w:rFonts w:ascii="Arial" w:eastAsia="Times New Roman" w:hAnsi="Arial" w:cs="Arial"/>
                <w:i/>
                <w:iCs/>
                <w:sz w:val="18"/>
                <w:szCs w:val="18"/>
              </w:rPr>
              <w:t>per Konstruktion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 xml:space="preserve"> im Material (Interstitials); zwei unabhängige Deskriptorachsen (δ, x); hö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>chster Neuheitsgrad: erster intrinsischer Interstitial-Memristor wäre allein publikationsstark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B52F87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sz w:val="18"/>
                <w:szCs w:val="18"/>
              </w:rPr>
              <w:t>Kernfrage unbewiesen</w:t>
            </w:r>
            <w:r>
              <w:rPr>
                <w:rFonts w:ascii="Arial" w:eastAsia="Times New Roman" w:hAnsi="Arial" w:cs="Arial"/>
                <w:sz w:val="18"/>
                <w:szCs w:val="18"/>
              </w:rPr>
              <w:t>: intrinsisches Schalten ohne TiN nie gezeigt (expliziter Negativbefund); Streifen-/Ladungsordnung und Metallisierung in der Sr-Reihe; Entscheidungstor nötig (Monat 12)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ED1D2B" w14:textId="77777777" w:rsidR="003F3BFD" w:rsidRDefault="003F3BFD">
            <w:pPr>
              <w:spacing w:before="120" w:after="200"/>
              <w:rPr>
                <w:rFonts w:ascii="Arial" w:eastAsia="Times New Roman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sz w:val="18"/>
                <w:szCs w:val="18"/>
              </w:rPr>
              <w:t>High-Risk / High-Gain</w:t>
            </w:r>
          </w:p>
        </w:tc>
      </w:tr>
    </w:tbl>
    <w:p w14:paraId="447B5D2B" w14:textId="77777777" w:rsidR="003F3BFD" w:rsidRDefault="003F3BFD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Einordnung und Empfehlung</w:t>
      </w:r>
    </w:p>
    <w:p w14:paraId="4BB20F4A" w14:textId="77777777" w:rsidR="003F3BFD" w:rsidRDefault="003F3BFD">
      <w:pPr>
        <w:numPr>
          <w:ilvl w:val="0"/>
          <w:numId w:val="1"/>
        </w:numPr>
        <w:spacing w:before="100" w:beforeAutospacing="1" w:after="60"/>
        <w:jc w:val="both"/>
        <w:rPr>
          <w:rFonts w:ascii="Arial" w:eastAsia="Times New Roman" w:hAnsi="Arial" w:cs="Arial"/>
          <w:sz w:val="21"/>
          <w:szCs w:val="21"/>
        </w:rPr>
      </w:pPr>
      <w:r>
        <w:rPr>
          <w:rFonts w:ascii="Arial" w:eastAsia="Times New Roman" w:hAnsi="Arial" w:cs="Arial"/>
          <w:b/>
          <w:bCs/>
          <w:sz w:val="21"/>
          <w:szCs w:val="21"/>
        </w:rPr>
        <w:t>Sicherste Einzelwahl für das Lynen-Pilotprojekt: STF (Ordner 1).</w:t>
      </w:r>
      <w:r>
        <w:rPr>
          <w:rFonts w:ascii="Arial" w:eastAsia="Times New Roman" w:hAnsi="Arial" w:cs="Arial"/>
          <w:sz w:val="21"/>
          <w:szCs w:val="21"/>
        </w:rPr>
        <w:t xml:space="preserve"> </w:t>
      </w:r>
      <w:r>
        <w:rPr>
          <w:rFonts w:ascii="Arial" w:eastAsia="Times New Roman" w:hAnsi="Arial" w:cs="Arial"/>
          <w:sz w:val="21"/>
          <w:szCs w:val="21"/>
        </w:rPr>
        <w:t>Es ist das einzige System, in dem intrinsisches Schalten, Graphen-Spektroskopie-Zugang, quantifizierte Deskriptoren und Mechanismus-Stabilität bereits publiziert koexistieren – die Studie kann sofort mit der Korrelationsfrage beginnen statt mit Machbarkeitsnachweisen.</w:t>
      </w:r>
    </w:p>
    <w:p w14:paraId="09016D77" w14:textId="77777777" w:rsidR="003F3BFD" w:rsidRDefault="003F3BFD">
      <w:pPr>
        <w:numPr>
          <w:ilvl w:val="0"/>
          <w:numId w:val="1"/>
        </w:numPr>
        <w:spacing w:before="100" w:beforeAutospacing="1" w:after="60"/>
        <w:jc w:val="both"/>
        <w:rPr>
          <w:rFonts w:ascii="Arial" w:eastAsia="Times New Roman" w:hAnsi="Arial" w:cs="Arial"/>
          <w:sz w:val="21"/>
          <w:szCs w:val="21"/>
        </w:rPr>
      </w:pPr>
      <w:r>
        <w:rPr>
          <w:rFonts w:ascii="Arial" w:eastAsia="Times New Roman" w:hAnsi="Arial" w:cs="Arial"/>
          <w:b/>
          <w:bCs/>
          <w:sz w:val="21"/>
          <w:szCs w:val="21"/>
        </w:rPr>
        <w:t>Stärkste Story bei Erfolg: LNO (Ordner 5)</w:t>
      </w:r>
      <w:r>
        <w:rPr>
          <w:rFonts w:ascii="Arial" w:eastAsia="Times New Roman" w:hAnsi="Arial" w:cs="Arial"/>
          <w:sz w:val="21"/>
          <w:szCs w:val="21"/>
        </w:rPr>
        <w:t xml:space="preserve"> – aber mit echtem Machbarkeitsrisiko im Kern; nur wählen, wenn das Entscheidungstor-Konzept (Rückfall auf TiN-Benchmark) den Gutachtern und dem Gastgeber als robust vermittelbar ist.</w:t>
      </w:r>
    </w:p>
    <w:p w14:paraId="16D13112" w14:textId="77777777" w:rsidR="003F3BFD" w:rsidRDefault="003F3BFD">
      <w:pPr>
        <w:numPr>
          <w:ilvl w:val="0"/>
          <w:numId w:val="1"/>
        </w:numPr>
        <w:spacing w:before="100" w:beforeAutospacing="1" w:after="60"/>
        <w:jc w:val="both"/>
        <w:rPr>
          <w:rFonts w:ascii="Arial" w:eastAsia="Times New Roman" w:hAnsi="Arial" w:cs="Arial"/>
          <w:sz w:val="21"/>
          <w:szCs w:val="21"/>
        </w:rPr>
      </w:pPr>
      <w:r>
        <w:rPr>
          <w:rFonts w:ascii="Arial" w:eastAsia="Times New Roman" w:hAnsi="Arial" w:cs="Arial"/>
          <w:b/>
          <w:bCs/>
          <w:sz w:val="21"/>
          <w:szCs w:val="21"/>
        </w:rPr>
        <w:t>Größte Lü</w:t>
      </w:r>
      <w:r>
        <w:rPr>
          <w:rFonts w:ascii="Arial" w:eastAsia="Times New Roman" w:hAnsi="Arial" w:cs="Arial"/>
          <w:b/>
          <w:bCs/>
          <w:sz w:val="21"/>
          <w:szCs w:val="21"/>
        </w:rPr>
        <w:t>cke: LSFO (Ordner 3)</w:t>
      </w:r>
      <w:r>
        <w:rPr>
          <w:rFonts w:ascii="Arial" w:eastAsia="Times New Roman" w:hAnsi="Arial" w:cs="Arial"/>
          <w:sz w:val="21"/>
          <w:szCs w:val="21"/>
        </w:rPr>
        <w:t>; der Mechanismuswechsel am Sr-Ende ist dort ehrlich als kartierbare Grenze geframt, bleibt aber ein Confounder für die reine Kovalenz-Frage.</w:t>
      </w:r>
    </w:p>
    <w:p w14:paraId="725433E9" w14:textId="77777777" w:rsidR="003F3BFD" w:rsidRDefault="003F3BFD">
      <w:pPr>
        <w:numPr>
          <w:ilvl w:val="0"/>
          <w:numId w:val="1"/>
        </w:numPr>
        <w:spacing w:before="100" w:beforeAutospacing="1" w:after="60"/>
        <w:jc w:val="both"/>
        <w:rPr>
          <w:rFonts w:ascii="Arial" w:eastAsia="Times New Roman" w:hAnsi="Arial" w:cs="Arial"/>
          <w:sz w:val="21"/>
          <w:szCs w:val="21"/>
        </w:rPr>
      </w:pPr>
      <w:r>
        <w:rPr>
          <w:rFonts w:ascii="Arial" w:eastAsia="Times New Roman" w:hAnsi="Arial" w:cs="Arial"/>
          <w:b/>
          <w:bCs/>
          <w:sz w:val="21"/>
          <w:szCs w:val="21"/>
        </w:rPr>
        <w:t>PCMO (Ordner 2)</w:t>
      </w:r>
      <w:r>
        <w:rPr>
          <w:rFonts w:ascii="Arial" w:eastAsia="Times New Roman" w:hAnsi="Arial" w:cs="Arial"/>
          <w:sz w:val="21"/>
          <w:szCs w:val="21"/>
        </w:rPr>
        <w:t xml:space="preserve"> maximiert persönliches De-Risking, trägt aber den bekannten Reaktivelektroden-Confounder in sich; </w:t>
      </w:r>
      <w:r>
        <w:rPr>
          <w:rFonts w:ascii="Arial" w:eastAsia="Times New Roman" w:hAnsi="Arial" w:cs="Arial"/>
          <w:b/>
          <w:bCs/>
          <w:sz w:val="21"/>
          <w:szCs w:val="21"/>
        </w:rPr>
        <w:t>LSMO (Ordner 4)</w:t>
      </w:r>
      <w:r>
        <w:rPr>
          <w:rFonts w:ascii="Arial" w:eastAsia="Times New Roman" w:hAnsi="Arial" w:cs="Arial"/>
          <w:sz w:val="21"/>
          <w:szCs w:val="21"/>
        </w:rPr>
        <w:t xml:space="preserve"> ist der beste Spektroskopie-Anker, physikalisch aber durch den Metall-Übergang belastet.</w:t>
      </w:r>
    </w:p>
    <w:p w14:paraId="23587093" w14:textId="77777777" w:rsidR="003F3BFD" w:rsidRDefault="003F3BFD">
      <w:pPr>
        <w:numPr>
          <w:ilvl w:val="0"/>
          <w:numId w:val="1"/>
        </w:numPr>
        <w:spacing w:before="100" w:beforeAutospacing="1" w:after="60"/>
        <w:jc w:val="both"/>
        <w:rPr>
          <w:rFonts w:ascii="Arial" w:eastAsia="Times New Roman" w:hAnsi="Arial" w:cs="Arial"/>
          <w:sz w:val="21"/>
          <w:szCs w:val="21"/>
        </w:rPr>
      </w:pPr>
      <w:r>
        <w:rPr>
          <w:rFonts w:ascii="Arial" w:eastAsia="Times New Roman" w:hAnsi="Arial" w:cs="Arial"/>
          <w:b/>
          <w:bCs/>
          <w:sz w:val="21"/>
          <w:szCs w:val="21"/>
        </w:rPr>
        <w:t>Kombinierbarkeit:</w:t>
      </w:r>
      <w:r>
        <w:rPr>
          <w:rFonts w:ascii="Arial" w:eastAsia="Times New Roman" w:hAnsi="Arial" w:cs="Arial"/>
          <w:sz w:val="21"/>
          <w:szCs w:val="21"/>
        </w:rPr>
        <w:t xml:space="preserve"> Die großen Anträ</w:t>
      </w:r>
      <w:r>
        <w:rPr>
          <w:rFonts w:ascii="Arial" w:eastAsia="Times New Roman" w:hAnsi="Arial" w:cs="Arial"/>
          <w:sz w:val="21"/>
          <w:szCs w:val="21"/>
        </w:rPr>
        <w:t>ge (ERC/Emmy Noether) behalten in allen Varianten das Drei-Familien-Programm (LSFO/LSMO/LSCO) als Kern; der Ordner bestimmt jeweils nur, welches System als Lynen-Pilot und Vorarbeit dient. Eine denkbare Kompromissstrategie: STF als Lynen-Pilot (sicher), LSFO als Reihe 1 des Gruppenprogramms (größte Lücke), LNO als exploratives Arbeitspaket der zweiten Förderphase.</w:t>
      </w:r>
    </w:p>
    <w:p w14:paraId="12E385DB" w14:textId="77777777" w:rsidR="003F3BFD" w:rsidRDefault="003F3BFD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Offene Punkte vor Einreichung (alle Varianten)</w:t>
      </w:r>
    </w:p>
    <w:p w14:paraId="3D92DCDA" w14:textId="77777777" w:rsidR="003F3BFD" w:rsidRDefault="003F3BFD">
      <w:pPr>
        <w:numPr>
          <w:ilvl w:val="0"/>
          <w:numId w:val="2"/>
        </w:numPr>
        <w:spacing w:before="100" w:beforeAutospacing="1" w:after="60"/>
        <w:jc w:val="both"/>
        <w:rPr>
          <w:rFonts w:ascii="Arial" w:eastAsia="Times New Roman" w:hAnsi="Arial" w:cs="Arial"/>
          <w:sz w:val="21"/>
          <w:szCs w:val="21"/>
        </w:rPr>
      </w:pPr>
      <w:r>
        <w:rPr>
          <w:rFonts w:ascii="Arial" w:eastAsia="Times New Roman" w:hAnsi="Arial" w:cs="Arial"/>
          <w:sz w:val="21"/>
          <w:szCs w:val="21"/>
        </w:rPr>
        <w:t>Verteidigungsdatum, Patentdetails, Kooperationszusagen (Chueh, Synchrotron-, DFT-Partner), Wahl der Gastinstitution (RWTH vs. FZJ)</w:t>
      </w:r>
    </w:p>
    <w:p w14:paraId="462F7D2C" w14:textId="77777777" w:rsidR="003F3BFD" w:rsidRDefault="003F3BFD">
      <w:pPr>
        <w:numPr>
          <w:ilvl w:val="0"/>
          <w:numId w:val="2"/>
        </w:numPr>
        <w:spacing w:before="100" w:beforeAutospacing="1" w:after="60"/>
        <w:jc w:val="both"/>
        <w:rPr>
          <w:rFonts w:ascii="Arial" w:eastAsia="Times New Roman" w:hAnsi="Arial" w:cs="Arial"/>
          <w:sz w:val="21"/>
          <w:szCs w:val="21"/>
        </w:rPr>
      </w:pPr>
      <w:r>
        <w:rPr>
          <w:rFonts w:ascii="Arial" w:eastAsia="Times New Roman" w:hAnsi="Arial" w:cs="Arial"/>
          <w:sz w:val="21"/>
          <w:szCs w:val="21"/>
        </w:rPr>
        <w:t>Manuskript-Platzhalter [P1]/[E4] mit realen Ergebnissen füllen; alle Referenzen per DOI gegenprüfen (websearch-verifiziert, Einzelangaben ohne Gewähr)</w:t>
      </w:r>
    </w:p>
    <w:p w14:paraId="26E1E2FE" w14:textId="77777777" w:rsidR="003F3BFD" w:rsidRDefault="003F3BFD">
      <w:pPr>
        <w:numPr>
          <w:ilvl w:val="0"/>
          <w:numId w:val="2"/>
        </w:numPr>
        <w:spacing w:before="100" w:beforeAutospacing="1" w:after="60"/>
        <w:jc w:val="both"/>
        <w:rPr>
          <w:rFonts w:ascii="Arial" w:eastAsia="Times New Roman" w:hAnsi="Arial" w:cs="Arial"/>
          <w:sz w:val="21"/>
          <w:szCs w:val="21"/>
        </w:rPr>
      </w:pPr>
      <w:r>
        <w:rPr>
          <w:rFonts w:ascii="Arial" w:eastAsia="Times New Roman" w:hAnsi="Arial" w:cs="Arial"/>
          <w:sz w:val="21"/>
          <w:szCs w:val="21"/>
        </w:rPr>
        <w:t>ERC-/Emmy-Noether-Fassungen sind als Zukunftsszenario aus dem laufenden Lynen-Aufenthalt geschrieben – vor realer Nutzung an die tatsächliche Situation anpassen</w:t>
      </w:r>
    </w:p>
    <w:sectPr w:rsidR="003F3BF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32293"/>
    <w:multiLevelType w:val="multilevel"/>
    <w:tmpl w:val="375E8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234EC2"/>
    <w:multiLevelType w:val="multilevel"/>
    <w:tmpl w:val="5FEE9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2846569">
    <w:abstractNumId w:val="0"/>
  </w:num>
  <w:num w:numId="2" w16cid:durableId="1631332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585"/>
    <w:rsid w:val="00280585"/>
    <w:rsid w:val="003F3BFD"/>
    <w:rsid w:val="00B74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1E8D42"/>
  <w15:chartTrackingRefBased/>
  <w15:docId w15:val="{B377EAE0-7E7B-4855-A34C-8374D5B2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320" w:after="160"/>
      <w:outlineLvl w:val="0"/>
    </w:pPr>
    <w:rPr>
      <w:b/>
      <w:bCs/>
      <w:color w:val="1F3864"/>
      <w:kern w:val="36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pPr>
      <w:spacing w:before="260" w:after="120"/>
      <w:outlineLvl w:val="1"/>
    </w:pPr>
    <w:rPr>
      <w:b/>
      <w:bCs/>
      <w:color w:val="1F386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after="14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140"/>
      <w:jc w:val="both"/>
    </w:pPr>
  </w:style>
  <w:style w:type="paragraph" w:customStyle="1" w:styleId="muted">
    <w:name w:val="muted"/>
    <w:basedOn w:val="Normal"/>
    <w:pPr>
      <w:spacing w:before="100" w:beforeAutospacing="1" w:after="60"/>
      <w:jc w:val="both"/>
    </w:pPr>
    <w:rPr>
      <w:i/>
      <w:iCs/>
      <w:color w:val="777777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895</Words>
  <Characters>5107</Characters>
  <Application>Microsoft Office Word</Application>
  <DocSecurity>4</DocSecurity>
  <Lines>42</Lines>
  <Paragraphs>11</Paragraphs>
  <ScaleCrop>false</ScaleCrop>
  <Company/>
  <LinksUpToDate>false</LinksUpToDate>
  <CharactersWithSpaces>5991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Materialsysteme im Vergleich - Antragsportfolio</dc:title>
  <dc:subject/>
  <dc:creator>Buczek, Max</dc:creator>
  <cp:keywords/>
  <dc:description/>
  <cp:lastModifiedBy>Buczek, Max</cp:lastModifiedBy>
  <cp:revision>2</cp:revision>
  <dcterms:created xsi:type="dcterms:W3CDTF">2026-08-09T14:54:00Z</dcterms:created>
  <dcterms:modified xsi:type="dcterms:W3CDTF">2026-08-09T14:54:00Z</dcterms:modified>
</cp:coreProperties>
</file>