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Materialsysteme im Vergleich – Entscheidungsgrundlage für das Antragsportfolio</w:t>
      </w:r>
    </w:p>
    <w:p>
      <w:pPr>
        <w:spacing w:after="100"/>
      </w:pPr>
      <w:r>
        <w:rPr>
          <w:i/>
          <w:iCs/>
          <w:sz w:val="18"/>
          <w:szCs w:val="18"/>
        </w:rPr>
        <w:t xml:space="preserve">Stand: 09.08.2026, Fokus-Revision. Claude-Code-generiert. Bewertung neu ausgerichtet auf zwei Beleg-Achsen (siehe unten); dafür wurden die Elektrodenstapel und Stöchiometrie-Abhängigkeiten der 14 zentralen Device-Studien einzeln gegen die Verlagsangaben verifiziert. Referenzstatus: Alle 101 Literaturverweise des Portfolios wurden am 09.08.2026 vollständig verifiziert und korrigiert, die systematische Literatursuche je System wiederholt und die empfohlenen Neuaufnahmen in die Antragsdokumente eingearbeitet (Details: Literaturpruefung_2026-08-09.docx). Jeder Materialordner (Material_1 … Material_5) enthält ein vollständiges Antragsset: Feodor-Lynen-Exposé, ERC Starting Grant (COVMAP) und DFG Emmy Noether (COMET-Ox).</w:t>
      </w:r>
    </w:p>
    <w:p>
      <w:pPr>
        <w:pStyle w:val="Heading1"/>
        <w:spacing w:after="120" w:before="240"/>
      </w:pPr>
      <w:r>
        <w:t xml:space="preserve">Bewertungsfokus: zwei Beleg-Achsen</w:t>
      </w:r>
    </w:p>
    <w:p>
      <w:pPr>
        <w:spacing w:after="100"/>
      </w:pPr>
      <w:r>
        <w:t xml:space="preserve">Achse 1 – Kovalenz und Leerstellen-Energetik vs. Stöchiometrie: Wie gut ist für das System belegt, dass sich die Metall–Sauerstoff-Kovalenz und die Sauerstoffleerstellen-Bildungsenergie (EV) mit der Stöchiometrie (Dotierung x bzw. Sauerstoffgehalt δ) kontrolliert und quantifizierbar ändern? Maßstab: experimentelle XAS-Serien, geschlossene Defektchemie-Beziehungen, quantitative EV(x)-Rechnungen.</w:t>
      </w:r>
    </w:p>
    <w:p>
      <w:pPr>
        <w:spacing w:after="100"/>
      </w:pPr>
      <w:r>
        <w:t xml:space="preserve">Achse 2 – Resistives Schalten an der Edelmetall-Grenzfläche vs. Stöchiometrie: Wie gut ist belegt, dass das Material an einer inerten Edelmetall-Grenzfläche (Pt, Au, Graphen) resistiv schaltet – und dass dieses Schalten von der Stöchiometrie (und damit der Kovalenz) abhängt? Maßstab: Device-Studien mit eindeutig inerter aktiver Grenzfläche, idealerweise als Kompositions- oder δ-Serie. Hintergrund: Nur an inerten Grenzflächen bleibt die Sauerstoffbilanz im Oxid, sodass die Kovalenz – und nicht die Elektrodenchemie – die gemessene Variable ist.</w:t>
      </w:r>
    </w:p>
    <w:p>
      <w:pPr>
        <w:pStyle w:val="Heading1"/>
        <w:spacing w:after="120" w:before="240"/>
      </w:pPr>
      <w:r>
        <w:t xml:space="preserve">Kurzübersicht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800"/>
        <w:gridCol w:w="2800"/>
        <w:gridCol w:w="2222"/>
      </w:tblGrid>
      <w:tr>
        <w:tc>
          <w:tcPr>
            <w:tcW w:type="dxa" w:w="1250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System</w:t>
            </w:r>
          </w:p>
        </w:tc>
        <w:tc>
          <w:tcPr>
            <w:tcW w:type="dxa" w:w="2800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Achse 1: Kovalenz &amp; EV vs. Stöchiometrie – Beleglage</w:t>
            </w:r>
          </w:p>
        </w:tc>
        <w:tc>
          <w:tcPr>
            <w:tcW w:type="dxa" w:w="2800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Achse 2: Schalten an Edelmetall-Grenzfläche vs. Stöchiometrie – Beleglage</w:t>
            </w:r>
          </w:p>
        </w:tc>
        <w:tc>
          <w:tcPr>
            <w:tcW w:type="dxa" w:w="2222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Fazit</w:t>
            </w:r>
          </w:p>
        </w:tc>
      </w:tr>
      <w:tr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 – SrTi1-xFexO3-δ (STF)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Sehr gut belegt – bester quantitativer Anker: kontinuierliche kubische Mischreihe SrTiO3–SrFeO3-δ; Defektchemie in geschlossener Form, Eg(x) = 3,2 − 1,9x + 0,5x² eV und ΔHred(x) = 5,8 − 3,4x + 1,7x² eV (Rothschild 2006); Fe–O-Hybridisierung über die Reihe per XAS (Vračar 2007); O-K-Preedge-Quantifizierung etabliert (Suntivich 2014, Frati 2020). Grenzen: ΔHred aus dem Defektmodell (Leitfähigkeits-/Nichtstöchiometriedaten), nicht direkt kalorimetrisch; verdünntes Fe → kleine absolute Kovalenzänderungen.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Am besten belegt von allen fünf Systemen: Schalten an der Pt-Grenzfläche mechanistisch etabliert (Muenstermann 2010; Sarantopoulos 2024 – beide Pt/Fe:STO/Nb:STO; Rolle der Pt-Platzierung kontrolliert, Sediva 2019). Entscheidend: Stöchiometrie-gesteuertes Schalten an Pt ist direkt demonstriert – allerdings für die Kationen-Stöchiometrie Sr/Ti (Mikheev 2015, Pt/SrTiO3-Serie), noch nicht für den Fe-Gehalt. Die Fe-Kompositionsserie an inerten Elektroden fehlt (Kernlücke, bestätigt Aug 2026).</w:t>
            </w:r>
          </w:p>
        </w:tc>
        <w:tc>
          <w:tcPr>
            <w:tcW w:type="dxa" w:w="2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Empfehlung bestätigt und geschärft: einziges System, in dem beide Achsen bereits stark belegt sind; die verbleibende Lücke (Fe-Serie an Pt) ist exakt der Antragsinhalt. Risikoärmster Start.</w:t>
            </w:r>
          </w:p>
        </w:tc>
      </w:tr>
      <w:tr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 – Pr1-xCaxMnO3 (PCMO)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Nur punktuell belegt: XAS-Kovalenzquantifizierung existiert für genau zwei Kompositionen (x = 0,1 und 0,33; Lole 2023, OER-Kontext); keine geschlossene EV(x)-Beziehung für PCMO publiziert; als Kalibrierbasis dient die Manganit-XAS an La1-xSrxMnO3 (Abbate 1992). Die Kovalenzachse wäre im Projekt weitgehend selbst zu vermessen.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Widersprüchlich belegt: Die einzige komplette x-Serie (Asanuma 2009) läuft über die reaktive Ti-Grenzfläche; an Au verschwindet die Hysterese (Nakamura 2013, Elektrodenserie Al/Ni/Ag/Au auf Pt/PCMO). Aber: Pt/PCMO/Pt-Zellen schalten nachweislich – mit δ-abhängigem Verhalten und STEM-EELS-Beleg der O-Migration ohne reaktive Elektrode (Kramer 2017). Edelmetall-Schalten ist also möglich, aber schwächer, und als Ca-x-Serie unbelegt.</w:t>
            </w:r>
          </w:p>
        </w:tc>
        <w:tc>
          <w:tcPr>
            <w:tcW w:type="dxa" w:w="2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Persönliches De-Risking (eigene Kernexpertise), aber beide Achsen lückenhaft. Kramer 2017 macht die Edelmetall-Route realistischer als in der bisherigen Bewertung – Aufnahme ins PCMO-Antragsset empfohlen.</w:t>
            </w:r>
          </w:p>
        </w:tc>
      </w:tr>
      <w:tr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 – La1-xSrxFeO3-δ (LSFO)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Sehr gut belegt: kanonische Kontrolliert-Valenz-XAS über die gesamte Reihe (Abbate 1992: O-2p-Lochcharakter wächst systematisch mit x); EV(x) quantitativ ≈4 eV (x = 0) → &lt;1 eV (x = 0,5) (Ritzmann 2013, DFT+U), Endglieder zusätzlich per Diffusions-QMC (Santana 2017). Größter dokumentierter EV-Hub aller fünf Systeme. Einschränkung: EV rechnerisch, nicht experimentell bestimmt.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Nur Endglieder: SrFeO2.5/SrFeOx schaltet unter inerten Stapeln (Au-Top/SrRuO3-Boden: Nallagatla 2019, Tian 2019, Rao 2021) – Mechanismus ist dort aber der topotaktische Volumen-Phasenübergang, nicht primär die Edelmetall-Grenzflächenbarriere; LaFeO3 nur rudimentär (Aljurays 2023). Für 0 &lt; x &lt; 1 existiert keine einzige Memristor-Studie (bestätigt Aug 2026): x-abhängiges Schalten an Edelmetall ist komplett unbelegt.</w:t>
            </w:r>
          </w:p>
        </w:tc>
        <w:tc>
          <w:tcPr>
            <w:tcW w:type="dxa" w:w="2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Stärkste Achse 1, größte Lücke auf Achse 2 – maximaler Erkenntnisgewinn bei mittlerem Risiko; Mechanismuswechsel (Topotaktik) am Sr-Ende bleibt als kartierbare Grenze ehrlich benannt.</w:t>
            </w:r>
          </w:p>
        </w:tc>
      </w:tr>
      <w:tr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 – La1-xSrxMnO3-δ (LSMO)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Kovalenzteil exzellent: die Kontrolliert-Valenz-Spektroskopie wurde historisch auf La1-xSrxMnO3 kalibriert (Abbate 1992). EV(x) dagegen nur generisch aus DFT-Datenbanken (Curnan 2014, Emery 2017), keine geschlossene Form; Metallisierung ab x ≈ 0,17 ändert die elektronische Struktur qualitativ – zweite Variable auf der Deskriptorachse.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Schwächste Beleglage: kein Edelmetall-Grenzflächen-Schalten dokumentiert. Die einzige x-Serie (Choi 2013, x = 0,1/0,3/0,5) läuft über reaktives Al-Top (Pt nur Rückelektrode); Moreno 2010 ist spitzenbasiert (explizit kein Zwei-Elektroden-Device); neuere Einzelstudien nutzen aktives Ag (Liu 2024). Schalten an Edelmetall wäre für LSMO von Grund auf neu zu etablieren.</w:t>
            </w:r>
          </w:p>
        </w:tc>
        <w:tc>
          <w:tcPr>
            <w:tcW w:type="dxa" w:w="2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Bester Spektroskopie-Anker auf der Kovalenzseite, aber Achse 2 bei null und EV(x)-Beleg dünn – höchster Etablierungsaufwand, physikalisch anspruchsvoll (Metall-Übergang).</w:t>
            </w:r>
          </w:p>
        </w:tc>
      </w:tr>
      <w:tr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 – La2NiO4+δ / La2-xSrxNiO4 (LNO)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Gut belegt, aber andere Defektspezies: kanonische Ligandenloch-XAS der Sr-Reihe (Kuiper 1991); δ (Interstitial-Sauerstoff) spektroskopisch quantifizierbar (EELS: Koroleva 2024). Die EV-Analogie – Bildungsenergie des Interstitials als Funktion von δ und x – ist nicht in geschlossener Form publiziert; dafür zwei unabhängige Stöchiometrieachsen (δ, x) als strukturelle Chance.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δ-Abhängigkeit des Schaltens ist als Serie belegt (Koroleva 2024: δ wählt filamentär vs. Interface-Typ) – aber an der reaktiven TiN-Grenzfläche (Pt nur passive Rückelektrode); TiN-frei nur als interner Oxid/Oxid-Kontakt (Maas 2022: LaNiO3/La2NiO4, Pt-Kontakte passiv). Schalten an einer aktiven Edelmetall-Grenzfläche: nicht gezeigt – exakt die offene Kernfrage des LNO-Sets (Entscheidungstor Monat 12).</w:t>
            </w:r>
          </w:p>
        </w:tc>
        <w:tc>
          <w:tcPr>
            <w:tcW w:type="dxa" w:w="2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High-Risk/High-Gain: Stöchiometrieachsen vorhanden und teils schaltwirksam belegt (δ), Edelmetall-Frage per Konstruktion offen; nur mit robustem Entscheidungstor wählen.</w:t>
            </w:r>
          </w:p>
        </w:tc>
      </w:tr>
    </w:tbl>
    <w:p>
      <w:pPr>
        <w:pStyle w:val="Heading1"/>
        <w:spacing w:after="120" w:before="240"/>
      </w:pPr>
      <w:r>
        <w:t xml:space="preserve">Einordnung und Empfehlung</w:t>
      </w:r>
    </w:p>
    <w:p>
      <w:pPr>
        <w:spacing w:after="100"/>
      </w:pPr>
      <w:r>
        <w:t xml:space="preserve">Rangfolge Achse 1 (Kovalenz/EV vs. Stöchiometrie): STF ≈ LSFO (beide quantitativ, STF geschlossen-analytisch, LSFO mit größtem EV-Hub) &gt; LSMO (Kovalenz kanonisch, EV nur generisch) ≈ LNO (XAS kanonisch, Interstitial-Energetik offen) &gt; PCMO (zwei Messpunkte).</w:t>
      </w:r>
    </w:p>
    <w:p>
      <w:pPr>
        <w:spacing w:after="100"/>
      </w:pPr>
      <w:r>
        <w:t xml:space="preserve">Rangfolge Achse 2 (Edelmetall-Schalten vs. Stöchiometrie): STF (Pt-Grenzfläche etabliert + Stöchiometrieserie an Pt demonstriert, Mikheev 2015 – wenn auch für Sr/Ti statt Fe) &gt; LSFO (Endglieder unter Au/SrRuO3, keine Serie) &gt; PCMO (Pt/Pt-Schalten mit δ-Abhängigkeit gezeigt, Kramer 2017; x-Serie nur mit reaktivem Ti) &gt; LNO (δ-Serie belegt, aber an TiN) &gt; LSMO (nichts an Edelmetall).</w:t>
      </w:r>
    </w:p>
    <w:p>
      <w:pPr>
        <w:spacing w:after="100"/>
      </w:pPr>
      <w:r>
        <w:t xml:space="preserve">Empfehlung (durch die Fokus-Revision geschärft): STF bleibt die sicherste Wahl für das Lynen-Pilotprojekt – es ist das einzige System, das auf beiden Achsen bereits starke publizierte Belege hat; Mikheev 2015 liefert zudem die direkte methodische Blaupause „Stöchiometrie → Schottky-Barriere an Pt“. LSFO bleibt die stärkste Wahl für das Gruppenprogramm (Achse 1 maximal, Achse 2 maximal offen = größter Erkenntnisgewinn). Neu gegenüber der bisherigen Bewertung: PCMO steht auf Achse 2 besser da als angenommen (Kramer 2017, Pt/PCMO/Pt mit δ-Abhängigkeit) – das relativiert den Reaktivelektroden-Confounder; LSMO steht auf Achse 2 schwächer da als bisher dargestellt (Choi-Serie läuft über reaktives Al; Moreno ist spitzenbasiert). LNO unverändert High-Risk/High-Gain mit Entscheidungstor.</w:t>
      </w:r>
    </w:p>
    <w:p>
      <w:pPr>
        <w:spacing w:after="100"/>
      </w:pPr>
      <w:r>
        <w:t xml:space="preserve">Kombinierbarkeit: Die großen Anträge (ERC/Emmy Noether) behalten das Drei-Familien-Programm (LSFO/LSMO/LSCO) als Kern; der gewählte Ordner bestimmt das Lynen-Pilotmaterial. Kompromissstrategie unverändert: STF als Lynen-Pilot (beide Achsen belegt), LSFO als Reihe 1 des Gruppenprogramms (größte Lücke), LNO als exploratives Arbeitspaket der zweiten Förderphase.</w:t>
      </w:r>
    </w:p>
    <w:p>
      <w:pPr>
        <w:pStyle w:val="Heading1"/>
        <w:spacing w:after="120" w:before="240"/>
      </w:pPr>
      <w:r>
        <w:t xml:space="preserve">Offene Punkte vor Einreichung</w:t>
      </w:r>
    </w:p>
    <w:p>
      <w:pPr>
        <w:spacing w:after="100"/>
      </w:pPr>
      <w:r>
        <w:t xml:space="preserve">• Kramer et al., APL 110, 243502 (2017) (Pt/PCMO/Pt, δ-abhängig) und Nakamura et al., Nanoscale Res. Lett. 8, 76 (2013) (Elektrodenserie) in das PCMO-Antragsset aufnehmen – beide stützen bzw. präzisieren dessen Elektroden-Argumentation. • Zwei Verifikations-Flags aus der Elektrodenprüfung: Asanuma-Rückelektrode (SrRuO3) aus dem Plattformkontext erschlossen; Choi-Al-Top aus Begleitpublikationen bestätigt – beide vor Einreichung am Volltext gegenprüfen. • EV ist nur für STF aus experimentnahen Defektmodellen verfügbar, sonst DFT – für die Anträge sauber als rechnerisch kennzeichnen. • Verteidigungsdatum, Patentdetails, Kooperationszusagen (Chueh, Synchrotron-, DFT-Partner), Wahl der Gastinstitution (RWTH vs. FZJ). • Manuskript-Platzhalter [P1]/[E4] mit realen Ergebnissen füllen. • ERC-/Emmy-Noether-Fassungen sind als Zukunftsszenario aus dem laufenden Lynen-Aufenthalt geschrieben – vor realer Nutzung anpassen.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2026-08-09T16:54:05.342Z</dcterms:created>
  <dcterms:modified xsi:type="dcterms:W3CDTF">2026-08-09T16:54:05.359Z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