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DAAD PRIME – Postdoctoral Researchers International Mobility Experience</w:t>
      </w:r>
    </w:p>
    <w:p>
      <w:pPr>
        <w:pStyle w:val="Title"/>
      </w:pPr>
      <w:r>
        <w:t xml:space="preserve">Covalency as an Experimental Descriptor of Memristive Switching: the SrTi1-xFexO3-δ Model Series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shd w:fill="EEF1F5" w:val="clear"/>
            <w:tcMar>
              <w:top w:type="dxa" w:w="50"/>
              <w:left w:type="dxa" w:w="90"/>
              <w:bottom w:type="dxa" w:w="50"/>
              <w:right w:type="dxa" w:w="90"/>
            </w:tcMar>
          </w:tcPr>
          <w:p>
            <w:r>
              <w:rPr>
                <w:b/>
                <w:bCs/>
                <w:sz w:val="19"/>
                <w:szCs w:val="19"/>
              </w:rPr>
              <w:t xml:space="preserve">Applicant</w:t>
            </w:r>
          </w:p>
        </w:tc>
        <w:tc>
          <w:tcPr>
            <w:tcW w:type="dxa" w:w="66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400"/>
            <w:shd w:fill="EEF1F5" w:val="clear"/>
            <w:tcMar>
              <w:top w:type="dxa" w:w="50"/>
              <w:left w:type="dxa" w:w="90"/>
              <w:bottom w:type="dxa" w:w="50"/>
              <w:right w:type="dxa" w:w="90"/>
            </w:tcMar>
          </w:tcPr>
          <w:p>
            <w:r>
              <w:rPr>
                <w:b/>
                <w:bCs/>
                <w:sz w:val="19"/>
                <w:szCs w:val="19"/>
              </w:rPr>
              <w:t xml:space="preserve">Host abroad</w:t>
            </w:r>
          </w:p>
        </w:tc>
        <w:tc>
          <w:tcPr>
            <w:tcW w:type="dxa" w:w="66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(Stanford Synchrotron Radiation Lightsource, SSRL)</w:t>
            </w:r>
          </w:p>
        </w:tc>
      </w:tr>
      <w:tr>
        <w:tc>
          <w:tcPr>
            <w:tcW w:type="dxa" w:w="2400"/>
            <w:shd w:fill="EEF1F5" w:val="clear"/>
            <w:tcMar>
              <w:top w:type="dxa" w:w="50"/>
              <w:left w:type="dxa" w:w="90"/>
              <w:bottom w:type="dxa" w:w="50"/>
              <w:right w:type="dxa" w:w="90"/>
            </w:tcMar>
          </w:tcPr>
          <w:p>
            <w:r>
              <w:rPr>
                <w:b/>
                <w:bCs/>
                <w:sz w:val="19"/>
                <w:szCs w:val="19"/>
              </w:rPr>
              <w:t xml:space="preserve">German / European host</w:t>
            </w:r>
          </w:p>
        </w:tc>
        <w:tc>
          <w:tcPr>
            <w:tcW w:type="dxa" w:w="6672"/>
            <w:tcMar>
              <w:top w:type="dxa" w:w="50"/>
              <w:left w:type="dxa" w:w="90"/>
              <w:bottom w:type="dxa" w:w="50"/>
              <w:right w:type="dxa" w:w="90"/>
            </w:tcMar>
          </w:tcPr>
          <w:p>
            <w:r>
              <w:rPr>
                <w:b w:val="false"/>
                <w:bCs w:val="false"/>
                <w:sz w:val="19"/>
                <w:szCs w:val="19"/>
              </w:rPr>
              <w:t xml:space="preserve">[RWTH Aachen University or Forschungszentrum Jülich – to be fixed; hosts the return/reintegration phase where applicable]</w:t>
            </w:r>
          </w:p>
        </w:tc>
      </w:tr>
      <w:tr>
        <w:tc>
          <w:tcPr>
            <w:tcW w:type="dxa" w:w="2400"/>
            <w:shd w:fill="EEF1F5" w:val="clear"/>
            <w:tcMar>
              <w:top w:type="dxa" w:w="50"/>
              <w:left w:type="dxa" w:w="90"/>
              <w:bottom w:type="dxa" w:w="50"/>
              <w:right w:type="dxa" w:w="90"/>
            </w:tcMar>
          </w:tcPr>
          <w:p>
            <w:r>
              <w:rPr>
                <w:b/>
                <w:bCs/>
                <w:sz w:val="19"/>
                <w:szCs w:val="19"/>
              </w:rPr>
              <w:t xml:space="preserve">Duration</w:t>
            </w:r>
          </w:p>
        </w:tc>
        <w:tc>
          <w:tcPr>
            <w:tcW w:type="dxa" w:w="6672"/>
            <w:tcMar>
              <w:top w:type="dxa" w:w="50"/>
              <w:left w:type="dxa" w:w="90"/>
              <w:bottom w:type="dxa" w:w="50"/>
              <w:right w:type="dxa" w:w="90"/>
            </w:tcMar>
          </w:tcPr>
          <w:p>
            <w:r>
              <w:rPr>
                <w:b w:val="false"/>
                <w:bCs w:val="false"/>
                <w:sz w:val="19"/>
                <w:szCs w:val="19"/>
              </w:rPr>
              <w:t xml:space="preserve">18 months (12 abroad + 6 reintegration)</w:t>
            </w:r>
          </w:p>
        </w:tc>
      </w:tr>
      <w:tr>
        <w:tc>
          <w:tcPr>
            <w:tcW w:type="dxa" w:w="2400"/>
            <w:shd w:fill="EEF1F5" w:val="clear"/>
            <w:tcMar>
              <w:top w:type="dxa" w:w="50"/>
              <w:left w:type="dxa" w:w="90"/>
              <w:bottom w:type="dxa" w:w="50"/>
              <w:right w:type="dxa" w:w="90"/>
            </w:tcMar>
          </w:tcPr>
          <w:p>
            <w:r>
              <w:rPr>
                <w:b/>
                <w:bCs/>
                <w:sz w:val="19"/>
                <w:szCs w:val="19"/>
              </w:rPr>
              <w:t xml:space="preserve">Format</w:t>
            </w:r>
          </w:p>
        </w:tc>
        <w:tc>
          <w:tcPr>
            <w:tcW w:type="dxa" w:w="6672"/>
            <w:tcMar>
              <w:top w:type="dxa" w:w="50"/>
              <w:left w:type="dxa" w:w="90"/>
              <w:bottom w:type="dxa" w:w="50"/>
              <w:right w:type="dxa" w:w="90"/>
            </w:tcMar>
          </w:tcPr>
          <w:p>
            <w:r>
              <w:rPr>
                <w:b w:val="false"/>
                <w:bCs w:val="false"/>
                <w:sz w:val="19"/>
                <w:szCs w:val="19"/>
              </w:rPr>
              <w:t xml:space="preserve">18-month employment contract (TV-L E13) at a German university: 12 months abroad (Stanford University / SLAC) + 6-month reintegration phase in Germany [RWTH Aachen or FZ Jülich – commitment of the German host required]</w:t>
            </w:r>
          </w:p>
        </w:tc>
      </w:tr>
      <w:tr>
        <w:tc>
          <w:tcPr>
            <w:tcW w:type="dxa" w:w="2400"/>
            <w:shd w:fill="EEF1F5" w:val="clear"/>
            <w:tcMar>
              <w:top w:type="dxa" w:w="50"/>
              <w:left w:type="dxa" w:w="90"/>
              <w:bottom w:type="dxa" w:w="50"/>
              <w:right w:type="dxa" w:w="90"/>
            </w:tcMar>
          </w:tcPr>
          <w:p>
            <w:r>
              <w:rPr>
                <w:b/>
                <w:bCs/>
                <w:sz w:val="19"/>
                <w:szCs w:val="19"/>
              </w:rPr>
              <w:t xml:space="preserve">Funding body</w:t>
            </w:r>
          </w:p>
        </w:tc>
        <w:tc>
          <w:tcPr>
            <w:tcW w:type="dxa" w:w="6672"/>
            <w:tcMar>
              <w:top w:type="dxa" w:w="50"/>
              <w:left w:type="dxa" w:w="90"/>
              <w:bottom w:type="dxa" w:w="50"/>
              <w:right w:type="dxa" w:w="90"/>
            </w:tcMar>
          </w:tcPr>
          <w:p>
            <w:r>
              <w:rPr>
                <w:b w:val="false"/>
                <w:bCs w:val="false"/>
                <w:sz w:val="19"/>
                <w:szCs w:val="19"/>
              </w:rPr>
              <w:t xml:space="preserve">DAAD [verify current call, co-funding and conditions before submission]</w:t>
            </w:r>
          </w:p>
        </w:tc>
      </w:tr>
      <w:tr>
        <w:tc>
          <w:tcPr>
            <w:tcW w:type="dxa" w:w="2400"/>
            <w:shd w:fill="EEF1F5" w:val="clear"/>
            <w:tcMar>
              <w:top w:type="dxa" w:w="50"/>
              <w:left w:type="dxa" w:w="90"/>
              <w:bottom w:type="dxa" w:w="50"/>
              <w:right w:type="dxa" w:w="90"/>
            </w:tcMar>
          </w:tcPr>
          <w:p>
            <w:r>
              <w:rPr>
                <w:b/>
                <w:bCs/>
                <w:sz w:val="19"/>
                <w:szCs w:val="19"/>
              </w:rPr>
              <w:t xml:space="preserve">Eligibility</w:t>
            </w:r>
          </w:p>
        </w:tc>
        <w:tc>
          <w:tcPr>
            <w:tcW w:type="dxa" w:w="6672"/>
            <w:tcMar>
              <w:top w:type="dxa" w:w="50"/>
              <w:left w:type="dxa" w:w="90"/>
              <w:bottom w:type="dxa" w:w="50"/>
              <w:right w:type="dxa" w:w="90"/>
            </w:tcMar>
          </w:tcPr>
          <w:p>
            <w:r>
              <w:rPr>
                <w:b w:val="false"/>
                <w:bCs w:val="false"/>
                <w:sz w:val="19"/>
                <w:szCs w:val="19"/>
              </w:rPr>
              <w:t xml:space="preserve">Doctorate completed before funding start; no nationality restriction</w:t>
            </w:r>
          </w:p>
        </w:tc>
      </w:tr>
      <w:tr>
        <w:tc>
          <w:tcPr>
            <w:tcW w:type="dxa" w:w="2400"/>
            <w:shd w:fill="EEF1F5" w:val="clear"/>
            <w:tcMar>
              <w:top w:type="dxa" w:w="50"/>
              <w:left w:type="dxa" w:w="90"/>
              <w:bottom w:type="dxa" w:w="50"/>
              <w:right w:type="dxa" w:w="90"/>
            </w:tcMar>
          </w:tcPr>
          <w:p>
            <w:r>
              <w:rPr>
                <w:b/>
                <w:bCs/>
                <w:sz w:val="19"/>
                <w:szCs w:val="19"/>
              </w:rPr>
              <w:t xml:space="preserve">Application</w:t>
            </w:r>
          </w:p>
        </w:tc>
        <w:tc>
          <w:tcPr>
            <w:tcW w:type="dxa" w:w="6672"/>
            <w:tcMar>
              <w:top w:type="dxa" w:w="50"/>
              <w:left w:type="dxa" w:w="90"/>
              <w:bottom w:type="dxa" w:w="50"/>
              <w:right w:type="dxa" w:w="90"/>
            </w:tcMar>
          </w:tcPr>
          <w:p>
            <w:r>
              <w:rPr>
                <w:b w:val="false"/>
                <w:bCs w:val="false"/>
                <w:sz w:val="19"/>
                <w:szCs w:val="19"/>
              </w:rPr>
              <w:t xml:space="preserve">Annual call, submitted directly to the DAAD [insert current deadline]</w:t>
            </w:r>
          </w:p>
        </w:tc>
      </w:tr>
      <w:tr>
        <w:tc>
          <w:tcPr>
            <w:tcW w:type="dxa" w:w="2400"/>
            <w:shd w:fill="EEF1F5" w:val="clear"/>
            <w:tcMar>
              <w:top w:type="dxa" w:w="50"/>
              <w:left w:type="dxa" w:w="90"/>
              <w:bottom w:type="dxa" w:w="50"/>
              <w:right w:type="dxa" w:w="90"/>
            </w:tcMar>
          </w:tcPr>
          <w:p>
            <w:r>
              <w:rPr>
                <w:b/>
                <w:bCs/>
                <w:sz w:val="19"/>
                <w:szCs w:val="19"/>
              </w:rPr>
              <w:t xml:space="preserve">Special feature</w:t>
            </w:r>
          </w:p>
        </w:tc>
        <w:tc>
          <w:tcPr>
            <w:tcW w:type="dxa" w:w="6672"/>
            <w:tcMar>
              <w:top w:type="dxa" w:w="50"/>
              <w:left w:type="dxa" w:w="90"/>
              <w:bottom w:type="dxa" w:w="50"/>
              <w:right w:type="dxa" w:w="90"/>
            </w:tcMar>
          </w:tcPr>
          <w:p>
            <w:r>
              <w:rPr>
                <w:b w:val="false"/>
                <w:bCs w:val="false"/>
                <w:sz w:val="19"/>
                <w:szCs w:val="19"/>
              </w:rPr>
              <w:t xml:space="preserve">Position instead of stipend – full social security; the reintegration phase is part of the programme</w:t>
            </w:r>
          </w:p>
        </w:tc>
      </w:tr>
    </w:tbl>
    <w:p>
      <w:pPr>
        <w:spacing w:after="120"/>
      </w:pPr>
      <w:r>
        <w:rPr>
          <w:i/>
          <w:iCs/>
          <w:sz w:val="18"/>
          <w:szCs w:val="18"/>
        </w:rPr>
        <w:t xml:space="preserve">Standalone draft proposal for this funding line (status 09.08.2026). Only one of the parallel programme drafts of this folder will be pursued for the research stay – check each funder’s double-funding rules before submission. Materials selection follows the portfolio’s three-criterion evidence logic; all cited references are individually verified against publisher records (see Literaturpruefung_2026-08-09 and Materialscreening_2026-08-09).</w:t>
      </w:r>
    </w:p>
    <w:p>
      <w:pPr>
        <w:pStyle w:val="Heading1"/>
        <w:spacing w:after="120" w:before="240"/>
      </w:pPr>
      <w:r>
        <w:t xml:space="preserve">1  Research question and scientific significance</w:t>
      </w:r>
    </w:p>
    <w:p>
      <w:pPr>
        <w:spacing w:after="120"/>
      </w:pPr>
      <w:r>
        <w:t xml:space="preserve">Memristive devices based on the valence change mechanism (VCM) switch their resistance through field-driven creation and migration of oxygen vacancies (VO) [1–3]. The oxygen-vacancy formation energy (EV) enters all quantitative switching models exponentially [3, 4] – and yet it has never been measured systematically how EV determines the central figures of merit (ON/OFF ratio, forming voltage, retention). Energy research, by contrast, has quantitatively established that EV in perovskites is controlled by the metal–oxygen covalency: the O-2p band centre scales linearly with EV and serves as a descriptor for catalysis and oxygen transport [5–8]. My project connects these two worlds experimentally for the first time – using the model system SrTi1-xFexO3-δ (STF), the one perovskite series in which intrinsic switching, an inert/graphene electrode platform and a quantitatively mapped defect chemistry already coexist. A decisive design requirement drives this choice: in many perovskite memristors – including Pr0.7Ca0.3MnO3, the system of my own doctorate – robust switching requires a reactive metal electrode, and the oxygen exchange with the resulting second oxide (TiOx, AlOx) then dominates the mechanism [23, 24]. A clean covalency study must instead use a system whose oxygen balance stays inside the oxide.</w:t>
      </w:r>
    </w:p>
    <w:p>
      <w:pPr>
        <w:spacing w:after="120"/>
      </w:pPr>
      <w:r>
        <w:t xml:space="preserve">STF is the ideal test system for a clean covalency study, for three reasons. (i) The covalency/reducibility axis is quantitatively mapped: STF forms a continuous cubic solid solution between SrTiO3 and SrFeO3-δ, and its defect chemistry is known in closed form – band gap Eg(x) = 3.2 − 1.9x + 0.5x² eV and reduction enthalpy ΔHred(x) = 5.8 − 3.4x + 1.7x² eV [9]; the Fe–O hybridisation across the series is documented by X-ray absorption [10–12]. The Fe content thus tunes the ease of oxygen-vacancy formation continuously within one perovskite host – the descriptor axis of this project, with literature values to test against. (ii) The switching axis is intrinsic – no reactive electrode required: Fe-doped SrTiO3 devices with inert electrodes switch via oxygen-vacancy modulation of the Schottky barrier (“eightwise”) as well as via intrinsic filaments [13, 14, 30]; Cr-doped SrTiO3 switches with inert electrodes with operando-XAS-proven vacancy drift [15]; and spectromicroscopy has traced the mechanism to oxygen migration and Ti valence changes within the oxide itself [16]. Crucially, the photoelectron-transparent graphene top-electrode platform has been demonstrated on exactly this materials system [17, 18]. Graphene is not merely convenient here but scientifically necessary: 18O-tracer and humidity studies show that under permeable electrodes, eightwise switching exchanges oxygen with ambient water [19, 20] – only a gas-tight (graphene-sealed) electrode makes the oxygen balance truly internal and the covalency–switching correlation unambiguous. (iii) The mechanism is stable across the series: for x ≤ 0.3, STF remains a cubic, p-type semiconducting perovskite – no topotactic brownmillerite transition and no metal–insulator transition interferes [9], in deliberate contrast to the manganite, ferrite and cobaltite families. The gap: a systematic Fe-content series in epitaxial devices under inert/graphene electrodes does not exist – published composition series were measured either with reactive electrodes (Ti/Pr1-xCaxMnO3 [23], where the electrode oxide dominates the mechanism [24]) or on polycrystalline films in a narrow composition window [22, 31]. That stoichiometry can control switching at a noble-metal interface has, however, been demonstrated on the closest possible platform – for the cation (Sr/Ti) stoichiometry of Pt/SrTiO3 junctions [32]; the covalency-controlling Fe content is precisely the missing series. My central hypothesis: the switching figures of merit of intrinsic STF devices scale with the covalency/reduction-enthalpy descriptor, with an optimum of the usable window at intermediate x – and the descriptor is measured, not merely computed [11].</w:t>
      </w:r>
    </w:p>
    <w:p>
      <w:pPr>
        <w:spacing w:after="120"/>
      </w:pPr>
      <w:r>
        <w:t xml:space="preserve">Conceptual footing (sharpened after expert feedback, 08/2026): throughout this project, “covalency” is used in the quantitative sense of the charge-transfer/cluster-model framework – charge-transfer energy Δ, on-site Coulomb energy U and transfer integrals, in the Zaanen–Sawatzky–Allen classification [33] and as extracted compound by compound by the configuration-interaction analyses of Fujimori, Bocquet, Saitoh, Sarma and co-workers [34–37]. O-K pre-edge intensities serve as a relative, series-internal hybridisation measure only; their limits as an absolute covalency scale (core-hole effects, ligand-hole distribution, band effects) are treated explicitly [38], and the conflation of hybridisation with covalency that is common in the catalysis-descriptor literature is deliberately avoided – the descriptor scale of this project is calibrated against cluster-model analysis, not against pre-edge intensity alone.</w:t>
      </w:r>
    </w:p>
    <w:p>
      <w:pPr>
        <w:pStyle w:val="Heading1"/>
        <w:spacing w:after="120" w:before="240"/>
      </w:pPr>
      <w:r>
        <w:t xml:space="preserve">2  Programme fit and strategy</w:t>
      </w:r>
    </w:p>
    <w:p>
      <w:pPr>
        <w:spacing w:after="120"/>
      </w:pPr>
      <w:r>
        <w:t xml:space="preserve">PRIME funds the project as an 18-month employment position: a focused 12-month Stanford campaign delivers the descriptor scale and the switching statistics, and the built-in 6-month reintegration phase in Jülich/Aachen is used for correlation analysis, transfer of the XAS protocols to European beamlines and submission of the junior-group proposal (Emmy Noether/ERC) – the return into the German system is part of the programme itself. Fallback within the DAAD portfolio: the classic postdoctoral research grants (stipend-based, up to 12 months) [verify current programme lines].</w:t>
      </w:r>
    </w:p>
    <w:p>
      <w:pPr>
        <w:pStyle w:val="Heading1"/>
        <w:spacing w:after="120" w:before="240"/>
      </w:pPr>
      <w:r>
        <w:t xml:space="preserve">3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perovskite thin films [25–27] – STF itself is a canonical solid-oxide-fuel-cell and oxygen-permeation material, so its defect thermodynamics [9] lie squarely in the group’s home territory. The group’s seminal work on the redox activity of oxygen anions in oxygen-deficient perovskites [26] is a direct methodological blueprint for my project; the Nature Materials study on atomically defined LaNiO3 surfaces [27] – with Christoph Baeumer from the Jülich school as first author – furthermore demonstrates that the group routinely masters epitaxial perovskite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 the very school that established both the Fe:SrTiO3 switching platform and the graphene-electrode spectroscopy concept [13, 16–18], whose processing and metrology I know first-hand. This two-sided fit is the strongest possible de-risking for the project: the device platform is proven Jülich methodology, the defect-chemistry and XAS side is proven Stanford methodology, and the fellowship time is spent on their genuinely new combination. The constellation is thus a genuine two-way transfer of knowledge. For complementary epitaxial growth questions, the environment of the Stanford Institute for Materials and Energy Sciences (SIMES) at SLAC is available. [Host choice under review after first-hand feedback (08/2026): the Chueh group’s own perovskite/oxide-redox activities have largely moved on; the relevant lines are continued in alumni groups – C. Baeumer (University of Twente), Q. Lu (Westlake University), J. T. Mefford, D. Chen. If XAS quantification is the methodological core, a host with direct synchrotron access (e.g. PSI/SLS, MAX IV, Diamond, or a beamline-affiliated group) is a serious alternative. Re-validate and, if necessary, rewrite this section before submission.]</w:t>
      </w:r>
    </w:p>
    <w:p>
      <w:pPr>
        <w:pStyle w:val="Heading1"/>
        <w:spacing w:after="120" w:before="240"/>
      </w:pPr>
      <w:r>
        <w:t xml:space="preserve">4  Work programme</w:t>
      </w:r>
    </w:p>
    <w:p>
      <w:pPr>
        <w:spacing w:after="120"/>
      </w:pPr>
      <w:r>
        <w:rPr>
          <w:b/>
          <w:bCs/>
        </w:rPr>
        <w:t xml:space="preserve">WP1 – Synthesis and descriptor measurement of the STF series (months 1–8, Stanford)</w:t>
      </w:r>
    </w:p>
    <w:p>
      <w:pPr>
        <w:spacing w:after="120"/>
      </w:pPr>
      <w:r>
        <w:t xml:space="preserve">PLD growth of epitaxial SrTi1-xFexO3-δ films (x = 0; 0.02; 0.05; 0.1; 0.2; 0.3 – from the dilute-dopant regime of the established Fe:SrTiO3 devices [13] into the mixed-conducting regime, safely below the vacancy-ordering region) on Nb:SrTiO3 substrates in the Stanford/SLAC thin-film laboratories; structural validation (XRD, AFM); cation and oxygen stoichiometry (XPS, RBS where required). In parallel, first XAS campaign at SSRL: Fe-L2,3 and Ti-L2,3 valence analysis and O-K pre-edge quantification following [11] for every composition → experimental covalency scale of the series, benchmarked against the closed-form defect model [9] and the published STF spectroscopy [10]. Milestone M1 (month 8): validated sample series with complete descriptor set.</w:t>
      </w:r>
    </w:p>
    <w:p>
      <w:pPr>
        <w:spacing w:after="120"/>
      </w:pPr>
      <w:r>
        <w:rPr>
          <w:b/>
          <w:bCs/>
        </w:rPr>
        <w:t xml:space="preserve">WP2 – Intrinsic devices and switching characterisation (months 6–12, Stanford)</w:t>
      </w:r>
    </w:p>
    <w:p>
      <w:pPr>
        <w:spacing w:after="120"/>
      </w:pPr>
      <w:r>
        <w:t xml:space="preserve">Two inert top-electrode flavours per composition, processed photolithographically with ≥ 30 nominally identical cells each: (i) Pt pads as the workhorse geometry, and (ii) graphene-sealed cells – photoelectron-transparent and gas-tight, following the platform demonstrated on SrTiO3 [17, 18] – which keep the oxygen balance strictly internal [19, 20] and remain spectroscopy-ready. Interface control against unintentional layers follows the lessons of [21] (epitaxial platform, reference samples). Quasistatic and pulsed characterisation of the eightwise regime [13, 14, 29] under the statistics protocol established in my doctorate (ON/OFF at defined read-out voltage, forming requirement, kinetics, temperature-accelerated retention, endurance). Milestone M2 (month 12): switching figures of merit as a function of x, in both geometries, with robust statistics. The second SSRL campaign (XAS on switched cells) is scheduled in months 10–12, before the return to Germany.</w:t>
      </w:r>
    </w:p>
    <w:p>
      <w:pPr>
        <w:spacing w:after="120"/>
      </w:pPr>
      <w:r>
        <w:rPr>
          <w:b/>
          <w:bCs/>
        </w:rPr>
        <w:t xml:space="preserve">WP3 – Correlation, transfer and group proposal (months 13–18, Germany)</w:t>
      </w:r>
    </w:p>
    <w:p>
      <w:pPr>
        <w:spacing w:after="120"/>
      </w:pPr>
      <w:r>
        <w:t xml:space="preserve">Reintegration phase at the German host [RWTH Aachen / FZ Jülich]: correlation analysis covalency (XAS) ↔ EV ↔ switching metrics on the complete dataset; transfer of the XAS protocols to European beamlines (BESSY II/PETRA III) including a first beamtime proposal; publication of the covalency-resolved device study and FAIR dataset release; submission of the junior-group proposal. Milestone M3 (month 18): submitted publication(s), public dataset, submitted group proposal.</w:t>
      </w:r>
    </w:p>
    <w:p>
      <w:pPr>
        <w:pStyle w:val="Heading1"/>
        <w:spacing w:after="120" w:before="240"/>
      </w:pPr>
      <w:r>
        <w:t xml:space="preserve">5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72"/>
        <w:gridCol w:w="950"/>
        <w:gridCol w:w="950"/>
        <w:gridCol w:w="950"/>
        <w:gridCol w:w="950"/>
        <w:gridCol w:w="950"/>
        <w:gridCol w:w="950"/>
      </w:tblGrid>
      <w:tr>
        <w:tc>
          <w:tcPr>
            <w:tcW w:type="dxa" w:w="3372"/>
            <w:shd w:fill="EEF1F5" w:val="clear"/>
            <w:tcMar>
              <w:top w:type="dxa" w:w="50"/>
              <w:left w:type="dxa" w:w="90"/>
              <w:bottom w:type="dxa" w:w="50"/>
              <w:right w:type="dxa" w:w="90"/>
            </w:tcMar>
          </w:tcPr>
          <w:p>
            <w:r>
              <w:rPr>
                <w:b/>
                <w:bCs/>
                <w:sz w:val="19"/>
                <w:szCs w:val="19"/>
              </w:rPr>
              <w:t xml:space="preserve">Work package</w:t>
            </w:r>
          </w:p>
        </w:tc>
        <w:tc>
          <w:tcPr>
            <w:tcW w:type="dxa" w:w="950"/>
            <w:shd w:fill="EEF1F5" w:val="clear"/>
            <w:tcMar>
              <w:top w:type="dxa" w:w="50"/>
              <w:left w:type="dxa" w:w="90"/>
              <w:bottom w:type="dxa" w:w="50"/>
              <w:right w:type="dxa" w:w="90"/>
            </w:tcMar>
          </w:tcPr>
          <w:p>
            <w:r>
              <w:rPr>
                <w:b/>
                <w:bCs/>
                <w:sz w:val="19"/>
                <w:szCs w:val="19"/>
              </w:rPr>
              <w:t xml:space="preserve">Q1</w:t>
            </w:r>
          </w:p>
        </w:tc>
        <w:tc>
          <w:tcPr>
            <w:tcW w:type="dxa" w:w="950"/>
            <w:shd w:fill="EEF1F5" w:val="clear"/>
            <w:tcMar>
              <w:top w:type="dxa" w:w="50"/>
              <w:left w:type="dxa" w:w="90"/>
              <w:bottom w:type="dxa" w:w="50"/>
              <w:right w:type="dxa" w:w="90"/>
            </w:tcMar>
          </w:tcPr>
          <w:p>
            <w:r>
              <w:rPr>
                <w:b/>
                <w:bCs/>
                <w:sz w:val="19"/>
                <w:szCs w:val="19"/>
              </w:rPr>
              <w:t xml:space="preserve">Q2</w:t>
            </w:r>
          </w:p>
        </w:tc>
        <w:tc>
          <w:tcPr>
            <w:tcW w:type="dxa" w:w="950"/>
            <w:shd w:fill="EEF1F5" w:val="clear"/>
            <w:tcMar>
              <w:top w:type="dxa" w:w="50"/>
              <w:left w:type="dxa" w:w="90"/>
              <w:bottom w:type="dxa" w:w="50"/>
              <w:right w:type="dxa" w:w="90"/>
            </w:tcMar>
          </w:tcPr>
          <w:p>
            <w:r>
              <w:rPr>
                <w:b/>
                <w:bCs/>
                <w:sz w:val="19"/>
                <w:szCs w:val="19"/>
              </w:rPr>
              <w:t xml:space="preserve">Q3</w:t>
            </w:r>
          </w:p>
        </w:tc>
        <w:tc>
          <w:tcPr>
            <w:tcW w:type="dxa" w:w="950"/>
            <w:shd w:fill="EEF1F5" w:val="clear"/>
            <w:tcMar>
              <w:top w:type="dxa" w:w="50"/>
              <w:left w:type="dxa" w:w="90"/>
              <w:bottom w:type="dxa" w:w="50"/>
              <w:right w:type="dxa" w:w="90"/>
            </w:tcMar>
          </w:tcPr>
          <w:p>
            <w:r>
              <w:rPr>
                <w:b/>
                <w:bCs/>
                <w:sz w:val="19"/>
                <w:szCs w:val="19"/>
              </w:rPr>
              <w:t xml:space="preserve">Q4</w:t>
            </w:r>
          </w:p>
        </w:tc>
        <w:tc>
          <w:tcPr>
            <w:tcW w:type="dxa" w:w="950"/>
            <w:shd w:fill="EEF1F5" w:val="clear"/>
            <w:tcMar>
              <w:top w:type="dxa" w:w="50"/>
              <w:left w:type="dxa" w:w="90"/>
              <w:bottom w:type="dxa" w:w="50"/>
              <w:right w:type="dxa" w:w="90"/>
            </w:tcMar>
          </w:tcPr>
          <w:p>
            <w:r>
              <w:rPr>
                <w:b/>
                <w:bCs/>
                <w:sz w:val="19"/>
                <w:szCs w:val="19"/>
              </w:rPr>
              <w:t xml:space="preserve">Q5</w:t>
            </w:r>
          </w:p>
        </w:tc>
        <w:tc>
          <w:tcPr>
            <w:tcW w:type="dxa" w:w="950"/>
            <w:shd w:fill="EEF1F5" w:val="clear"/>
            <w:tcMar>
              <w:top w:type="dxa" w:w="50"/>
              <w:left w:type="dxa" w:w="90"/>
              <w:bottom w:type="dxa" w:w="50"/>
              <w:right w:type="dxa" w:w="90"/>
            </w:tcMar>
          </w:tcPr>
          <w:p>
            <w:r>
              <w:rPr>
                <w:b/>
                <w:bCs/>
                <w:sz w:val="19"/>
                <w:szCs w:val="19"/>
              </w:rPr>
              <w:t xml:space="preserve">Q6</w:t>
            </w:r>
          </w:p>
        </w:tc>
      </w:tr>
      <w:tr>
        <w:tc>
          <w:tcPr>
            <w:tcW w:type="dxa" w:w="3372"/>
            <w:tcMar>
              <w:top w:type="dxa" w:w="50"/>
              <w:left w:type="dxa" w:w="90"/>
              <w:bottom w:type="dxa" w:w="50"/>
              <w:right w:type="dxa" w:w="90"/>
            </w:tcMar>
          </w:tcPr>
          <w:p>
            <w:r>
              <w:rPr>
                <w:b w:val="false"/>
                <w:bCs w:val="false"/>
                <w:sz w:val="19"/>
                <w:szCs w:val="19"/>
              </w:rPr>
              <w:t xml:space="preserve">WP1 Synthesis + XAS descriptors</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r>
      <w:tr>
        <w:tc>
          <w:tcPr>
            <w:tcW w:type="dxa" w:w="3372"/>
            <w:tcMar>
              <w:top w:type="dxa" w:w="50"/>
              <w:left w:type="dxa" w:w="90"/>
              <w:bottom w:type="dxa" w:w="50"/>
              <w:right w:type="dxa" w:w="90"/>
            </w:tcMar>
          </w:tcPr>
          <w:p>
            <w:r>
              <w:rPr>
                <w:b w:val="false"/>
                <w:bCs w:val="false"/>
                <w:sz w:val="19"/>
                <w:szCs w:val="19"/>
              </w:rPr>
              <w:t xml:space="preserve">WP2 Devices + switching statistics</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r>
      <w:tr>
        <w:tc>
          <w:tcPr>
            <w:tcW w:type="dxa" w:w="3372"/>
            <w:tcMar>
              <w:top w:type="dxa" w:w="50"/>
              <w:left w:type="dxa" w:w="90"/>
              <w:bottom w:type="dxa" w:w="50"/>
              <w:right w:type="dxa" w:w="90"/>
            </w:tcMar>
          </w:tcPr>
          <w:p>
            <w:r>
              <w:rPr>
                <w:b w:val="false"/>
                <w:bCs w:val="false"/>
                <w:sz w:val="19"/>
                <w:szCs w:val="19"/>
              </w:rPr>
              <w:t xml:space="preserve">WP3 Correlation + transfer + group proposal (DE)</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r>
    </w:tbl>
    <w:p>
      <w:pPr>
        <w:pStyle w:val="Heading1"/>
        <w:spacing w:after="120" w:before="240"/>
      </w:pPr>
      <w:r>
        <w:t xml:space="preserve">6  Career perspective</w:t>
      </w:r>
    </w:p>
    <w:p>
      <w:pPr>
        <w:spacing w:after="120"/>
      </w:pPr>
      <w:r>
        <w:t xml:space="preserve">The project is the building block between the applicant’s doctorate (memristive devices, PLD, switching statistics) and the goal of an own junior research group in Germany on descriptor-based materials development for memristive oxides (Emmy Noether proposal in preparation; ERC Starting Grant as an alternative). PRIME makes the return part of the funding itself: the reintegration phase at the German host is used to anchor the methodology in the Jülich/Aachen environment (JARA) and to submit the group proposal. The choice of STF is deliberate: the switching stays inside the oxide (no reactive-electrode confounder), the graphene-sealed platform keeps it spectroscopy-ready, and the mechanism is stable across the composition range – the subsequent group programme scales the validated methodology to the mixed-valent A-site families. The Stanford/SSRL collaboration will be continued as the transatlantic bridge of the future group.</w:t>
      </w:r>
    </w:p>
    <w:p>
      <w:pPr>
        <w:pStyle w:val="Heading1"/>
        <w:spacing w:after="120" w:before="240"/>
      </w:pPr>
      <w:r>
        <w:t xml:space="preserve">7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A. Rothschild, W. Menesklou, H. L. Tuller, E. Ivers-Tiffée, Electronic Structure, Defect Chemistry, and Transport Properties of SrTi1-xFexO3-y Solid Solutions. Chemistry of Materials 18, 3651–3659 (2006).</w:t>
      </w:r>
    </w:p>
    <w:p>
      <w:pPr>
        <w:spacing w:after="120"/>
      </w:pPr>
      <w:r>
        <w:rPr>
          <w:sz w:val="18"/>
          <w:szCs w:val="18"/>
        </w:rPr>
        <w:t xml:space="preserve">[10] M. Vračar, A. Kuzmin, R. Merkle, J. Purans, E. A. Kotomin, J. Maier, O. Mathon, Jahn-Teller distortion around Fe4+ in Sr(FexTi1-x)O3-δ from x-ray absorption spectroscopy, x-ray diffraction, and vibrational spectroscopy. Physical Review B 76, 174107 (2007).</w:t>
      </w:r>
    </w:p>
    <w:p>
      <w:pPr>
        <w:spacing w:after="120"/>
      </w:pPr>
      <w:r>
        <w:rPr>
          <w:sz w:val="18"/>
          <w:szCs w:val="18"/>
        </w:rPr>
        <w:t xml:space="preserve">[11]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[12] F. Frati, M. O. J. Y. Hunault, F. M. F. de Groot, Oxygen K-edge X-ray Absorption Spectra. Chemical Reviews 120, 4056–4110 (2020).</w:t>
      </w:r>
    </w:p>
    <w:p>
      <w:pPr>
        <w:spacing w:after="120"/>
      </w:pPr>
      <w:r>
        <w:rPr>
          <w:sz w:val="18"/>
          <w:szCs w:val="18"/>
        </w:rPr>
        <w:t xml:space="preserve">[13] R. Muenstermann, T. Menke, R. Dittmann, R. Waser, Coexistence of Filamentary and Homogeneous Resistive Switching in Fe-Doped SrTiO3 Thin-Film Memristive Devices. Advanced Materials 22, 4819–4822 (2010).</w:t>
      </w:r>
    </w:p>
    <w:p>
      <w:pPr>
        <w:spacing w:after="120"/>
      </w:pPr>
      <w:r>
        <w:rPr>
          <w:sz w:val="18"/>
          <w:szCs w:val="18"/>
        </w:rPr>
        <w:t xml:space="preserve">[14] A. Sarantopoulos, R. Waser, R. Dittmann, Eightwise Switching Mechanism in Memristive SrTiO3 Devices and Its Implications on the Device Performance. Physica Status Solidi A 221, 2300483 (2024).</w:t>
      </w:r>
    </w:p>
    <w:p>
      <w:pPr>
        <w:spacing w:after="120"/>
      </w:pPr>
      <w:r>
        <w:rPr>
          <w:sz w:val="18"/>
          <w:szCs w:val="18"/>
        </w:rPr>
        <w:t xml:space="preserve">[15] M. Janousch, G. I. Meijer, U. Staub, B. Delley, S. F. Karg, B. P. Andreasson, Role of Oxygen Vacancies in Cr-Doped SrTiO3 for Resistance-Change Memory. Advanced Materials 19, 2232–2235 (2007).</w:t>
      </w:r>
    </w:p>
    <w:p>
      <w:pPr>
        <w:spacing w:after="120"/>
      </w:pPr>
      <w:r>
        <w:rPr>
          <w:sz w:val="18"/>
          <w:szCs w:val="18"/>
        </w:rPr>
        <w:t xml:space="preserve">[16] C. Baeumer et al., Spectromicroscopic insights for rational design of redox-based memristive devices. Nature Communications 6, 8610 (2015).</w:t>
      </w:r>
    </w:p>
    <w:p>
      <w:pPr>
        <w:spacing w:after="120"/>
      </w:pPr>
      <w:r>
        <w:rPr>
          <w:sz w:val="18"/>
          <w:szCs w:val="18"/>
        </w:rPr>
        <w:t xml:space="preserve">[17] C. Baeumer et al., Quantifying redox-induced Schottky barrier variations in memristive devices via in operando spectromicroscopy with graphene electrodes. Nature Communications 7, 12398 (2016).</w:t>
      </w:r>
    </w:p>
    <w:p>
      <w:pPr>
        <w:spacing w:after="120"/>
      </w:pPr>
      <w:r>
        <w:rPr>
          <w:sz w:val="18"/>
          <w:szCs w:val="18"/>
        </w:rPr>
        <w:t xml:space="preserve">[18] C. Baeumer et al., Subfilamentary Networks Cause Cycle-to-Cycle Variability in Memristive Devices. ACS Nano 11, 6921–6929 (2017).</w:t>
      </w:r>
    </w:p>
    <w:p>
      <w:pPr>
        <w:spacing w:after="120"/>
      </w:pPr>
      <w:r>
        <w:rPr>
          <w:sz w:val="18"/>
          <w:szCs w:val="18"/>
        </w:rPr>
        <w:t xml:space="preserve">[19] T. Heisig, C. Baeumer, U. N. Gries et al., Oxygen Exchange Processes between Oxide Memristive Devices and Water Molecules. Advanced Materials 30, 1800957 (2018).</w:t>
      </w:r>
    </w:p>
    <w:p>
      <w:pPr>
        <w:spacing w:after="120"/>
      </w:pPr>
      <w:r>
        <w:rPr>
          <w:sz w:val="18"/>
          <w:szCs w:val="18"/>
        </w:rPr>
        <w:t xml:space="preserve">[20] E. Sediva, W. J. Bowman, J. C. Gonzalez-Rosillo, J. L. M. Rupp, Investigation of the Eightwise Switching Mechanism and Its Suppression in SrTiO3 Modulated by Humidity and Interchanged Top and Bottom Platinum and LaNiO3 Electrode Contacts. Advanced Electronic Materials 5, 1800566 (2019).</w:t>
      </w:r>
    </w:p>
    <w:p>
      <w:pPr>
        <w:spacing w:after="120"/>
      </w:pPr>
      <w:r>
        <w:rPr>
          <w:sz w:val="18"/>
          <w:szCs w:val="18"/>
        </w:rPr>
        <w:t xml:space="preserve">[21] E. Mikheev, B. D. Hoskins, D. B. Strukov, S. Stemmer, Resistive switching and its suppression in Pt/Nb:SrTiO3 junctions. Nature Communications 5, 3990 (2014).</w:t>
      </w:r>
    </w:p>
    <w:p>
      <w:pPr>
        <w:spacing w:after="120"/>
      </w:pPr>
      <w:r>
        <w:rPr>
          <w:sz w:val="18"/>
          <w:szCs w:val="18"/>
        </w:rPr>
        <w:t xml:space="preserve">[22] K.-H. Son, H.-S. Lee, Grain boundary effect on the resistive switching characteristics of SrTi1-xFexO3 directly patterned via photochemical organic-metal deposition. Applied Surface Science 575, 151754 (2022).</w:t>
      </w:r>
    </w:p>
    <w:p>
      <w:pPr>
        <w:spacing w:after="120"/>
      </w:pPr>
      <w:r>
        <w:rPr>
          <w:sz w:val="18"/>
          <w:szCs w:val="18"/>
        </w:rPr>
        <w:t xml:space="preserve">[23] S. Asanuma, H. Akoh, H. Yamada, A. Sawa, Relationship between resistive switching characteristics and band diagrams of Ti/Pr1-xCaxMnO3 junctions. Physical Review B 80, 235113 (2009).</w:t>
      </w:r>
    </w:p>
    <w:p>
      <w:pPr>
        <w:spacing w:after="120"/>
      </w:pPr>
      <w:r>
        <w:rPr>
          <w:sz w:val="18"/>
          <w:szCs w:val="18"/>
        </w:rPr>
        <w:t xml:space="preserve">[24] A. Herpers, C. Lenser, C. Park, F. Offi, F. Borgatti, G. Panaccione, S. Menzel, R. Waser, R. Dittmann, Spectroscopic proof of the correlation between redox-state and charge-carrier transport at the interface of resistively switching Ti/PCMO devices. Advanced Materials 26, 2730–2735 (2014).</w:t>
      </w:r>
    </w:p>
    <w:p>
      <w:pPr>
        <w:spacing w:after="120"/>
      </w:pPr>
      <w:r>
        <w:rPr>
          <w:sz w:val="18"/>
          <w:szCs w:val="18"/>
        </w:rPr>
        <w:t xml:space="preserve">[25]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[26]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[27]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[28] M. Wuttig et al., Revisiting the Nature of Chemical Bonding in Chalcogenides to Explain and Design their Properties. Advanced Materials 35, 2208485 (2023).</w:t>
      </w:r>
    </w:p>
    <w:p>
      <w:pPr>
        <w:spacing w:after="120"/>
      </w:pPr>
      <w:r>
        <w:rPr>
          <w:sz w:val="18"/>
          <w:szCs w:val="18"/>
        </w:rPr>
        <w:t xml:space="preserve">[29] A. Sarantopoulos, K. Lange, F. Rivadulla, S. Menzel, R. Dittmann, Resistive Switching Acceleration Induced by Thermal Confinement. Advanced Electronic Materials 11, 2400555 (2025).</w:t>
      </w:r>
    </w:p>
    <w:p>
      <w:pPr>
        <w:spacing w:after="120"/>
      </w:pPr>
      <w:r>
        <w:rPr>
          <w:sz w:val="18"/>
          <w:szCs w:val="18"/>
        </w:rPr>
        <w:t xml:space="preserve">[30] M. Mladenović, M. Kaniselvan, C. Weilenmann, A. Emboras, M. Luisier, Termination-Dependent Resistive Switching in SrTiO3 Valence Change Memory Cells. ACS Applied Electronic Materials 7, 2839–2847 (2025).</w:t>
      </w:r>
    </w:p>
    <w:p>
      <w:pPr>
        <w:spacing w:after="120"/>
      </w:pPr>
      <w:r>
        <w:rPr>
          <w:sz w:val="18"/>
          <w:szCs w:val="18"/>
        </w:rPr>
        <w:t xml:space="preserve">[31] K.-J. Lee, C.-H. Wu, C.-J. Lee, D.-W. Chou, N.-F. Wang, Y.-H. Wang, Reset-Voltage Controlled Resistance-State and Applications of Forming-Free Fe-Doped SrTiO3 Thin-Film Memristor. Materials 17, 5021 (2024).</w:t>
      </w:r>
    </w:p>
    <w:p>
      <w:pPr>
        <w:spacing w:after="120"/>
      </w:pPr>
      <w:r>
        <w:rPr>
          <w:sz w:val="18"/>
          <w:szCs w:val="18"/>
        </w:rPr>
        <w:t xml:space="preserve">[32] E. Mikheev, J. Hwang, A. P. Kajdos, A. J. Hauser, S. Stemmer, Tailoring resistive switching in Pt/SrTiO3 junctions by stoichiometry control. Scientific Reports 5, 11079 (2015).</w:t>
      </w:r>
    </w:p>
    <w:p>
      <w:pPr>
        <w:spacing w:after="120"/>
      </w:pPr>
      <w:r>
        <w:rPr>
          <w:sz w:val="18"/>
          <w:szCs w:val="18"/>
        </w:rPr>
        <w:t xml:space="preserve">[33] J. Zaanen, G. A. Sawatzky, J. W. Allen, Band gaps and electronic structure of transition-metal compounds. Physical Review Letters 55, 418–421 (1985).</w:t>
      </w:r>
    </w:p>
    <w:p>
      <w:pPr>
        <w:spacing w:after="120"/>
      </w:pPr>
      <w:r>
        <w:rPr>
          <w:sz w:val="18"/>
          <w:szCs w:val="18"/>
        </w:rPr>
        <w:t xml:space="preserve">[34] A. Fujimori, F. Minami, Valence-band photoemission and optical absorption in nickel compounds. Physical Review B 30, 957–971 (1984).</w:t>
      </w:r>
    </w:p>
    <w:p>
      <w:pPr>
        <w:spacing w:after="120"/>
      </w:pPr>
      <w:r>
        <w:rPr>
          <w:sz w:val="18"/>
          <w:szCs w:val="18"/>
        </w:rPr>
        <w:t xml:space="preserve">[35] A. E. Bocquet, T. Mizokawa, T. Saitoh, H. Namatame, A. Fujimori, Electronic structure of 3d-transition-metal compounds by analysis of the 2p core-level photoemission spectra. Physical Review B 46, 3771–3784 (1992).</w:t>
      </w:r>
    </w:p>
    <w:p>
      <w:pPr>
        <w:spacing w:after="120"/>
      </w:pPr>
      <w:r>
        <w:rPr>
          <w:sz w:val="18"/>
          <w:szCs w:val="18"/>
        </w:rPr>
        <w:t xml:space="preserve">[36] T. Saitoh, A. E. Bocquet, T. Mizokawa, A. Fujimori, Systematic variation of the electronic structure of 3d transition-metal compounds. Physical Review B 52, 7934–7938 (1995).</w:t>
      </w:r>
    </w:p>
    <w:p>
      <w:pPr>
        <w:spacing w:after="120"/>
      </w:pPr>
      <w:r>
        <w:rPr>
          <w:sz w:val="18"/>
          <w:szCs w:val="18"/>
        </w:rPr>
        <w:t xml:space="preserve">[37] S. Nimkar, D. D. Sarma, H. R. Krishnamurthy, S. Ramasesha, Mean-field results of the multiple-band extended Hubbard model for the square-planar CuO2 lattice. Physical Review B 48, 7355–7363 (1993).</w:t>
      </w:r>
    </w:p>
    <w:p>
      <w:pPr>
        <w:spacing w:after="120"/>
      </w:pPr>
      <w:r>
        <w:rPr>
          <w:sz w:val="18"/>
          <w:szCs w:val="18"/>
        </w:rPr>
        <w:t xml:space="preserve">[38] F. M. F. de Groot, X-ray absorption and dichroism of transition metals and their compounds. Journal of Electron Spectroscopy and Related Phenomena 67, 529–622 (1994).</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pStyle w:val="Heading1"/>
        <w:spacing w:after="120" w:before="240"/>
      </w:pPr>
      <w:r>
        <w:t xml:space="preserve">8  Notes before submission</w:t>
      </w:r>
    </w:p>
    <w:p>
      <w:pPr>
        <w:spacing w:after="120"/>
      </w:pPr>
      <w:r>
        <w:rPr>
          <w:sz w:val="18"/>
          <w:szCs w:val="18"/>
        </w:rPr>
        <w:t xml:space="preserve">• Verify all bracketed programme details (rates, deadlines, current call conditions) against the funder’s current documentation. • Coordinate the proposal with Prof. Chueh and fix the German/European host institution. • German host commitment (employment + reintegration workplace) and host statement from Prof. Chueh required. • Manuscript placeholders in the publication list ([E1]) to be updated at submission time.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2026-08-10T20:07:02.066Z</dcterms:created>
  <dcterms:modified xsi:type="dcterms:W3CDTF">2026-08-10T20:07:02.066Z</dcterms:modified>
</cp:coreProperties>
</file>

<file path=docProps/custom.xml><?xml version="1.0" encoding="utf-8"?>
<Properties xmlns="http://schemas.openxmlformats.org/officeDocument/2006/custom-properties" xmlns:vt="http://schemas.openxmlformats.org/officeDocument/2006/docPropsVTypes"/>
</file>