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that switches </w:t>
      </w:r>
      <w:r>
        <w:rPr>
          <w:rFonts w:ascii="Arial" w:hAnsi="Arial" w:cs="Arial"/>
          <w:i/>
          <w:iCs/>
          <w:sz w:val="21"/>
          <w:szCs w:val="21"/>
        </w:rPr>
        <w:t>intrinsically</w:t>
      </w:r>
      <w:r>
        <w:rPr>
          <w:rFonts w:ascii="Arial" w:hAnsi="Arial" w:cs="Arial"/>
          <w:sz w:val="21"/>
          <w:szCs w:val="21"/>
        </w:rPr>
        <w:t xml:space="preserve"> under gas-tight, photoelectron-transparent graphene electrodes – the oxygen balance stays inside the oxide, excluding the reactive-electrode confounder that dominates many perovskite devices – with an experimentally measured XAS covalency scale correlated against the switching metrics of the same cells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building on the intrinsic-switching descriptor methodology (graphene-sealed devices + XAS covalency scale) that I de-risked on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during my Feodor Lynen fellowship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established the O-K/Fe-L covalency scale across it at SSRL, and correlated it with intrinsic switching in graphene-sealed devices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295451038"/>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295451038"/>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295451038"/>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295451038"/>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295451038"/>
        <w:rPr>
          <w:rFonts w:ascii="Arial" w:hAnsi="Arial" w:cs="Arial"/>
          <w:sz w:val="18"/>
          <w:szCs w:val="18"/>
        </w:rPr>
      </w:pPr>
      <w:r>
        <w:rPr>
          <w:rFonts w:ascii="Arial" w:hAnsi="Arial" w:cs="Arial"/>
          <w:sz w:val="18"/>
          <w:szCs w:val="18"/>
        </w:rPr>
        <w:t xml:space="preserve">[43] S. Nimkar, D. D. Sarma, H. R. Krishnamurthy, S. Ramasesha, Physical Review B 48, 7355–7363 (1993).</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intrinsic memristive switching: epitaxial SrTi</w:t>
            </w:r>
            <w:r>
              <w:rPr>
                <w:rFonts w:ascii="Arial" w:eastAsia="Times New Roman" w:hAnsi="Arial" w:cs="Arial"/>
                <w:sz w:val="19"/>
                <w:szCs w:val="19"/>
                <w:vertAlign w:val="subscript"/>
              </w:rPr>
              <w:t>1-x</w:t>
            </w:r>
            <w:r>
              <w:rPr>
                <w:rFonts w:ascii="Arial" w:eastAsia="Times New Roman" w:hAnsi="Arial" w:cs="Arial"/>
                <w:sz w:val="19"/>
                <w:szCs w:val="19"/>
              </w:rPr>
              <w:t>Fe</w:t>
            </w:r>
            <w:r>
              <w:rPr>
                <w:rFonts w:ascii="Arial" w:eastAsia="Times New Roman" w:hAnsi="Arial" w:cs="Arial"/>
                <w:sz w:val="19"/>
                <w:szCs w:val="19"/>
                <w:vertAlign w:val="subscript"/>
              </w:rPr>
              <w:t>x</w:t>
            </w:r>
            <w:r>
              <w:rPr>
                <w:rFonts w:ascii="Arial" w:eastAsia="Times New Roman" w:hAnsi="Arial" w:cs="Arial"/>
                <w:sz w:val="19"/>
                <w:szCs w:val="19"/>
              </w:rPr>
              <w:t>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with graphene-sealed devices, XAS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P1.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