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0FE7" w14:textId="77777777" w:rsidR="001761AA" w:rsidRDefault="001761AA">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3E2901D6" w14:textId="77777777" w:rsidR="001761AA" w:rsidRDefault="001761AA">
      <w:pPr>
        <w:pStyle w:val="NormalWeb"/>
        <w:rPr>
          <w:rFonts w:ascii="Arial" w:hAnsi="Arial" w:cs="Arial"/>
          <w:sz w:val="21"/>
          <w:szCs w:val="21"/>
        </w:rPr>
      </w:pPr>
      <w:r>
        <w:rPr>
          <w:rFonts w:ascii="Arial" w:hAnsi="Arial" w:cs="Arial"/>
          <w:sz w:val="21"/>
          <w:szCs w:val="21"/>
        </w:rPr>
        <w:t> </w:t>
      </w:r>
    </w:p>
    <w:p w14:paraId="46383E51" w14:textId="77777777" w:rsidR="001761AA" w:rsidRDefault="001761AA">
      <w:pPr>
        <w:pStyle w:val="NormalWeb"/>
        <w:rPr>
          <w:rFonts w:ascii="Arial" w:hAnsi="Arial" w:cs="Arial"/>
          <w:sz w:val="21"/>
          <w:szCs w:val="21"/>
        </w:rPr>
      </w:pPr>
      <w:r>
        <w:rPr>
          <w:rFonts w:ascii="Arial" w:hAnsi="Arial" w:cs="Arial"/>
          <w:sz w:val="21"/>
          <w:szCs w:val="21"/>
        </w:rPr>
        <w:t> </w:t>
      </w:r>
    </w:p>
    <w:p w14:paraId="76BB7F84" w14:textId="77777777" w:rsidR="001761AA" w:rsidRDefault="001761AA">
      <w:pPr>
        <w:pStyle w:val="NormalWeb"/>
        <w:rPr>
          <w:rFonts w:ascii="Arial" w:hAnsi="Arial" w:cs="Arial"/>
          <w:sz w:val="21"/>
          <w:szCs w:val="21"/>
        </w:rPr>
      </w:pPr>
      <w:r>
        <w:rPr>
          <w:rFonts w:ascii="Arial" w:hAnsi="Arial" w:cs="Arial"/>
          <w:sz w:val="21"/>
          <w:szCs w:val="21"/>
        </w:rPr>
        <w:t> </w:t>
      </w:r>
    </w:p>
    <w:p w14:paraId="1217DFD8" w14:textId="77777777" w:rsidR="001761AA" w:rsidRDefault="001761AA">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38F322BB" w14:textId="77777777" w:rsidR="001761AA" w:rsidRDefault="001761AA">
      <w:pPr>
        <w:pStyle w:val="NormalWeb"/>
        <w:rPr>
          <w:rFonts w:ascii="Arial" w:hAnsi="Arial" w:cs="Arial"/>
          <w:sz w:val="21"/>
          <w:szCs w:val="21"/>
        </w:rPr>
      </w:pPr>
      <w:r>
        <w:rPr>
          <w:rFonts w:ascii="Arial" w:hAnsi="Arial" w:cs="Arial"/>
          <w:sz w:val="21"/>
          <w:szCs w:val="21"/>
        </w:rPr>
        <w:t> </w:t>
      </w:r>
    </w:p>
    <w:p w14:paraId="628841CA" w14:textId="77777777" w:rsidR="001761AA" w:rsidRDefault="001761AA">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FeO</w:t>
      </w:r>
      <w:r>
        <w:rPr>
          <w:rFonts w:ascii="Arial" w:hAnsi="Arial" w:cs="Arial"/>
          <w:b/>
          <w:bCs/>
          <w:sz w:val="26"/>
          <w:szCs w:val="26"/>
          <w:vertAlign w:val="subscript"/>
        </w:rPr>
        <w:t>3-δ</w:t>
      </w:r>
      <w:r>
        <w:rPr>
          <w:rFonts w:ascii="Arial" w:hAnsi="Arial" w:cs="Arial"/>
          <w:b/>
          <w:bCs/>
          <w:sz w:val="26"/>
          <w:szCs w:val="26"/>
        </w:rPr>
        <w:t xml:space="preserve"> Model Series</w:t>
      </w:r>
    </w:p>
    <w:p w14:paraId="2050C4C4" w14:textId="77777777" w:rsidR="001761AA" w:rsidRDefault="001761AA">
      <w:pPr>
        <w:pStyle w:val="NormalWeb"/>
        <w:rPr>
          <w:rFonts w:ascii="Arial" w:hAnsi="Arial" w:cs="Arial"/>
          <w:sz w:val="21"/>
          <w:szCs w:val="21"/>
        </w:rPr>
      </w:pPr>
      <w:r>
        <w:rPr>
          <w:rFonts w:ascii="Arial" w:hAnsi="Arial" w:cs="Arial"/>
          <w:sz w:val="21"/>
          <w:szCs w:val="21"/>
        </w:rPr>
        <w:t> </w:t>
      </w:r>
    </w:p>
    <w:p w14:paraId="559959A2" w14:textId="77777777" w:rsidR="001761AA" w:rsidRDefault="001761A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D38D07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109229"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427D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1BBE96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19CD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B1F5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398B6A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F13BE"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C548E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780990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3486B"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DFDA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67CAC4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15ACD"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51DF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5D9E87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F277A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E5A95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5B122F9" w14:textId="77777777" w:rsidR="001761AA" w:rsidRDefault="001761AA">
      <w:pPr>
        <w:pStyle w:val="NormalWeb"/>
        <w:rPr>
          <w:rFonts w:ascii="Arial" w:hAnsi="Arial" w:cs="Arial"/>
          <w:sz w:val="21"/>
          <w:szCs w:val="21"/>
        </w:rPr>
      </w:pPr>
      <w:r>
        <w:rPr>
          <w:rFonts w:ascii="Arial" w:hAnsi="Arial" w:cs="Arial"/>
          <w:sz w:val="21"/>
          <w:szCs w:val="21"/>
        </w:rPr>
        <w:t> </w:t>
      </w:r>
    </w:p>
    <w:p w14:paraId="179764FB" w14:textId="77777777" w:rsidR="001761AA" w:rsidRDefault="001761AA">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6099F57" w14:textId="77777777" w:rsidR="001761AA" w:rsidRDefault="001761AA">
      <w:pPr>
        <w:pStyle w:val="Heading1"/>
        <w:pageBreakBefore/>
        <w:rPr>
          <w:rFonts w:ascii="Arial" w:eastAsia="Times New Roman" w:hAnsi="Arial" w:cs="Arial"/>
        </w:rPr>
      </w:pPr>
      <w:r>
        <w:rPr>
          <w:rFonts w:ascii="Arial" w:eastAsia="Times New Roman" w:hAnsi="Arial" w:cs="Arial"/>
        </w:rPr>
        <w:lastRenderedPageBreak/>
        <w:t>Research Proposal (Exposé)</w:t>
      </w:r>
    </w:p>
    <w:p w14:paraId="5A32A23F" w14:textId="77777777" w:rsidR="001761AA" w:rsidRDefault="001761AA">
      <w:pPr>
        <w:pStyle w:val="Heading2"/>
        <w:rPr>
          <w:rFonts w:ascii="Arial" w:eastAsia="Times New Roman" w:hAnsi="Arial" w:cs="Arial"/>
        </w:rPr>
      </w:pPr>
      <w:r>
        <w:rPr>
          <w:rFonts w:ascii="Arial" w:eastAsia="Times New Roman" w:hAnsi="Arial" w:cs="Arial"/>
        </w:rPr>
        <w:t>1  Research question and scientific significance</w:t>
      </w:r>
    </w:p>
    <w:p w14:paraId="63873C54" w14:textId="77777777" w:rsidR="001761AA" w:rsidRDefault="001761AA">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ideally suited model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(LSFO).</w:t>
      </w:r>
    </w:p>
    <w:p w14:paraId="56223C81" w14:textId="77777777" w:rsidR="001761AA" w:rsidRDefault="001761AA">
      <w:pPr>
        <w:pStyle w:val="NormalWeb"/>
        <w:rPr>
          <w:rFonts w:ascii="Arial" w:hAnsi="Arial" w:cs="Arial"/>
          <w:sz w:val="21"/>
          <w:szCs w:val="21"/>
        </w:rPr>
      </w:pPr>
      <w:r>
        <w:rPr>
          <w:rFonts w:ascii="Arial" w:hAnsi="Arial" w:cs="Arial"/>
          <w:sz w:val="21"/>
          <w:szCs w:val="21"/>
        </w:rPr>
        <w:t>LSFO is the perfect test system: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lowers E</w:t>
      </w:r>
      <w:r>
        <w:rPr>
          <w:rFonts w:ascii="Arial" w:hAnsi="Arial" w:cs="Arial"/>
          <w:sz w:val="21"/>
          <w:szCs w:val="21"/>
          <w:vertAlign w:val="subscript"/>
        </w:rPr>
        <w:t>V</w:t>
      </w:r>
      <w:r>
        <w:rPr>
          <w:rFonts w:ascii="Arial" w:hAnsi="Arial" w:cs="Arial"/>
          <w:sz w:val="21"/>
          <w:szCs w:val="21"/>
        </w:rPr>
        <w:t xml:space="preserve">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w:t>
      </w:r>
      <w:r>
        <w:rPr>
          <w:rFonts w:ascii="Arial" w:hAnsi="Arial" w:cs="Arial"/>
          <w:sz w:val="21"/>
          <w:szCs w:val="21"/>
          <w:vertAlign w:val="subscript"/>
        </w:rPr>
        <w:t>3-δ</w:t>
      </w:r>
      <w:r>
        <w:rPr>
          <w:rFonts w:ascii="Arial" w:hAnsi="Arial" w:cs="Arial"/>
          <w:sz w:val="21"/>
          <w:szCs w:val="21"/>
        </w:rPr>
        <w:t>/SrFeO</w:t>
      </w:r>
      <w:r>
        <w:rPr>
          <w:rFonts w:ascii="Arial" w:hAnsi="Arial" w:cs="Arial"/>
          <w:sz w:val="21"/>
          <w:szCs w:val="21"/>
          <w:vertAlign w:val="subscript"/>
        </w:rPr>
        <w:t>2.5</w:t>
      </w:r>
      <w:r>
        <w:rPr>
          <w:rFonts w:ascii="Arial" w:hAnsi="Arial" w:cs="Arial"/>
          <w:sz w:val="21"/>
          <w:szCs w:val="21"/>
        </w:rPr>
        <w:t xml:space="preserve"> switches topotactically – under inert Au/SrRuO3 electrode stacks – with ON/OFF ratios around 10</w:t>
      </w:r>
      <w:r>
        <w:rPr>
          <w:rFonts w:ascii="Arial" w:hAnsi="Arial" w:cs="Arial"/>
          <w:sz w:val="21"/>
          <w:szCs w:val="21"/>
          <w:vertAlign w:val="superscript"/>
        </w:rPr>
        <w:t>4</w:t>
      </w:r>
      <w:r>
        <w:rPr>
          <w:rFonts w:ascii="Arial" w:hAnsi="Arial" w:cs="Arial"/>
          <w:sz w:val="21"/>
          <w:szCs w:val="21"/>
        </w:rPr>
        <w:t xml:space="preserve"> [12, 13], while LaFeO</w:t>
      </w:r>
      <w:r>
        <w:rPr>
          <w:rFonts w:ascii="Arial" w:hAnsi="Arial" w:cs="Arial"/>
          <w:sz w:val="21"/>
          <w:szCs w:val="21"/>
          <w:vertAlign w:val="subscript"/>
        </w:rPr>
        <w:t>3</w:t>
      </w:r>
      <w:r>
        <w:rPr>
          <w:rFonts w:ascii="Arial" w:hAnsi="Arial" w:cs="Arial"/>
          <w:sz w:val="21"/>
          <w:szCs w:val="21"/>
        </w:rPr>
        <w:t xml:space="preserve">, a robust insulator, is only rudimentarily switching-active [14, 23]. For the intermediate compositions, however, not a single memristor study exists – a gap secured by my systematic literature analysis. The closest existing work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electrochemically over four orders of magnitude [15], demonstrating feasibility without answering the memristor question. The few stoichiometry-dependent switching studies on related manganites consistently show a </w:t>
      </w:r>
      <w:r>
        <w:rPr>
          <w:rFonts w:ascii="Arial" w:hAnsi="Arial" w:cs="Arial"/>
          <w:i/>
          <w:iCs/>
          <w:sz w:val="21"/>
          <w:szCs w:val="21"/>
        </w:rPr>
        <w:t>non-monotonic optimum</w:t>
      </w:r>
      <w:r>
        <w:rPr>
          <w:rFonts w:ascii="Arial" w:hAnsi="Arial" w:cs="Arial"/>
          <w:sz w:val="21"/>
          <w:szCs w:val="21"/>
        </w:rPr>
        <w:t xml:space="preserve">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w:t>
      </w:r>
    </w:p>
    <w:p w14:paraId="7A780078" w14:textId="77777777" w:rsidR="001761AA" w:rsidRDefault="001761AA">
      <w:pPr>
        <w:pStyle w:val="Heading2"/>
        <w:rPr>
          <w:rFonts w:ascii="Arial" w:eastAsia="Times New Roman" w:hAnsi="Arial" w:cs="Arial"/>
        </w:rPr>
      </w:pPr>
      <w:r>
        <w:rPr>
          <w:rFonts w:ascii="Arial" w:eastAsia="Times New Roman" w:hAnsi="Arial" w:cs="Arial"/>
        </w:rPr>
        <w:t>2  Why the Chueh group at Stanford is the ideal place</w:t>
      </w:r>
    </w:p>
    <w:p w14:paraId="68B6F31A" w14:textId="77777777" w:rsidR="001761AA" w:rsidRDefault="001761AA">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4D9921DC" w14:textId="77777777" w:rsidR="001761AA" w:rsidRDefault="001761AA">
      <w:pPr>
        <w:pStyle w:val="Heading2"/>
        <w:rPr>
          <w:rFonts w:ascii="Arial" w:eastAsia="Times New Roman" w:hAnsi="Arial" w:cs="Arial"/>
        </w:rPr>
      </w:pPr>
      <w:r>
        <w:rPr>
          <w:rFonts w:ascii="Arial" w:eastAsia="Times New Roman" w:hAnsi="Arial" w:cs="Arial"/>
        </w:rPr>
        <w:t>3  Work programme (24 months)</w:t>
      </w:r>
    </w:p>
    <w:p w14:paraId="06B4C09A" w14:textId="77777777" w:rsidR="001761AA" w:rsidRDefault="001761AA">
      <w:pPr>
        <w:pStyle w:val="Heading3"/>
        <w:rPr>
          <w:rFonts w:ascii="Arial" w:eastAsia="Times New Roman" w:hAnsi="Arial" w:cs="Arial"/>
        </w:rPr>
      </w:pPr>
      <w:r>
        <w:rPr>
          <w:rFonts w:ascii="Arial" w:eastAsia="Times New Roman" w:hAnsi="Arial" w:cs="Arial"/>
        </w:rPr>
        <w:t xml:space="preserve">WP1 – Synthesis and descriptor measurement of the LSFO series (months 1–10)</w:t>
      </w:r>
    </w:p>
    <w:p w14:paraId="5F4D98F4" w14:textId="77777777" w:rsidR="001761AA" w:rsidRDefault="001761AA">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films (x = 0; 0.2; 0.33; 0.5; 0.67; 1)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determination of cation and oxygen stoichiometry (XPS, RBS where required). In parallel, first XAS campaign at SSRL: O-K pre-edge quantification following the procedure of Suntivich et al. [11] and Fe-L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3EF1ADA5" w14:textId="77777777" w:rsidR="001761AA" w:rsidRDefault="001761AA">
      <w:pPr>
        <w:pStyle w:val="Heading3"/>
        <w:rPr>
          <w:rFonts w:ascii="Arial" w:eastAsia="Times New Roman" w:hAnsi="Arial" w:cs="Arial"/>
        </w:rPr>
      </w:pPr>
      <w:r>
        <w:rPr>
          <w:rFonts w:ascii="Arial" w:eastAsia="Times New Roman" w:hAnsi="Arial" w:cs="Arial"/>
        </w:rPr>
        <w:t>WP2 – Devices and switching characterisation (months 8–18)</w:t>
      </w:r>
    </w:p>
    <w:p w14:paraId="589F6716" w14:textId="77777777" w:rsidR="001761AA" w:rsidRDefault="001761AA">
      <w:pPr>
        <w:pStyle w:val="NormalWeb"/>
        <w:rPr>
          <w:rFonts w:ascii="Arial" w:hAnsi="Arial" w:cs="Arial"/>
          <w:sz w:val="21"/>
          <w:szCs w:val="21"/>
        </w:rPr>
      </w:pPr>
      <w:r>
        <w:rPr>
          <w:rFonts w:ascii="Arial" w:hAnsi="Arial" w:cs="Arial"/>
          <w:sz w:val="21"/>
          <w:szCs w:val="21"/>
        </w:rPr>
        <w:t>Processing of identical Pt/LSFO/Nb:SrTiO</w:t>
      </w:r>
      <w:r>
        <w:rPr>
          <w:rFonts w:ascii="Arial" w:hAnsi="Arial" w:cs="Arial"/>
          <w:sz w:val="21"/>
          <w:szCs w:val="21"/>
          <w:vertAlign w:val="subscript"/>
        </w:rPr>
        <w:t>3</w:t>
      </w:r>
      <w:r>
        <w:rPr>
          <w:rFonts w:ascii="Arial" w:hAnsi="Arial" w:cs="Arial"/>
          <w:sz w:val="21"/>
          <w:szCs w:val="21"/>
        </w:rPr>
        <w:t xml:space="preserve">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76429027" w14:textId="77777777" w:rsidR="001761AA" w:rsidRDefault="001761AA">
      <w:pPr>
        <w:pStyle w:val="Heading3"/>
        <w:rPr>
          <w:rFonts w:ascii="Arial" w:eastAsia="Times New Roman" w:hAnsi="Arial" w:cs="Arial"/>
        </w:rPr>
      </w:pPr>
      <w:r>
        <w:rPr>
          <w:rFonts w:ascii="Arial" w:eastAsia="Times New Roman" w:hAnsi="Arial" w:cs="Arial"/>
        </w:rPr>
        <w:t>WP3 – Correlation, operando validation and publication (months 16–24)</w:t>
      </w:r>
    </w:p>
    <w:p w14:paraId="72A12E36" w14:textId="77777777" w:rsidR="001761AA" w:rsidRDefault="001761AA">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DFT [9]) ↔ switching metrics; test of the optimum hypothesis.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2C76CC2C" w14:textId="77777777" w:rsidR="001761AA" w:rsidRDefault="001761AA">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7D7F09AD"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48385E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4B3F70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718D62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EDBA33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B11CFD8"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55F8157"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BF1A15A"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FC7BCC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CA127C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15B529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A327B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7405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B3D0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518BC4"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6B9D9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899D52"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65291B"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6D43C"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69036C" w14:textId="77777777" w:rsidR="001761AA" w:rsidRDefault="001761AA">
            <w:pPr>
              <w:spacing w:before="120" w:after="200"/>
              <w:jc w:val="center"/>
              <w:rPr>
                <w:rFonts w:eastAsia="Times New Roman"/>
                <w:sz w:val="20"/>
                <w:szCs w:val="20"/>
              </w:rPr>
            </w:pPr>
          </w:p>
        </w:tc>
      </w:tr>
      <w:tr w:rsidR="00000000" w14:paraId="4E8978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00BA8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10D3C"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58D1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E374F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B02FF"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7EAD4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C96E6D"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9E474E"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250FA" w14:textId="77777777" w:rsidR="001761AA" w:rsidRDefault="001761AA">
            <w:pPr>
              <w:spacing w:before="120" w:after="200"/>
              <w:jc w:val="center"/>
              <w:rPr>
                <w:rFonts w:eastAsia="Times New Roman"/>
                <w:sz w:val="20"/>
                <w:szCs w:val="20"/>
              </w:rPr>
            </w:pPr>
          </w:p>
        </w:tc>
      </w:tr>
      <w:tr w:rsidR="00000000" w14:paraId="6FE697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77C5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98221"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1D6C5"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E938E7"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8E0F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1C397A"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5E8EA"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5552E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C93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C484283" w14:textId="77777777" w:rsidR="001761AA" w:rsidRDefault="001761AA">
      <w:pPr>
        <w:pStyle w:val="Heading2"/>
        <w:rPr>
          <w:rFonts w:ascii="Arial" w:eastAsia="Times New Roman" w:hAnsi="Arial" w:cs="Arial"/>
        </w:rPr>
      </w:pPr>
      <w:r>
        <w:rPr>
          <w:rFonts w:ascii="Arial" w:eastAsia="Times New Roman" w:hAnsi="Arial" w:cs="Arial"/>
        </w:rPr>
        <w:t>5  Career perspective and return strategy</w:t>
      </w:r>
    </w:p>
    <w:p w14:paraId="7B2C99FE" w14:textId="77777777" w:rsidR="001761AA" w:rsidRDefault="001761AA">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LSFO dataset, spanning the largest documented E</w:t>
      </w:r>
      <w:r>
        <w:rPr>
          <w:rFonts w:ascii="Arial" w:hAnsi="Arial" w:cs="Arial"/>
          <w:sz w:val="21"/>
          <w:szCs w:val="21"/>
          <w:vertAlign w:val="subscript"/>
        </w:rPr>
        <w:t>V</w:t>
      </w:r>
      <w:r>
        <w:rPr>
          <w:rFonts w:ascii="Arial" w:hAnsi="Arial" w:cs="Arial"/>
          <w:sz w:val="21"/>
          <w:szCs w:val="21"/>
        </w:rPr>
        <w:t xml:space="preserve"> range of any perovskite series) for the larger programme of a “treasure map” of memristive oxides in analogy to the bonding-descriptor maps of Wuttig et al. [21]. The subsequent group programme then extends the methodology to the manganite and cobaltite families and charts the topotactic mechanism boundary that the LSFO series itself approaches at its Sr-rich end.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791C8F98" w14:textId="77777777" w:rsidR="001761AA" w:rsidRDefault="001761AA">
      <w:pPr>
        <w:pStyle w:val="Heading2"/>
        <w:rPr>
          <w:rFonts w:ascii="Arial" w:eastAsia="Times New Roman" w:hAnsi="Arial" w:cs="Arial"/>
        </w:rPr>
      </w:pPr>
      <w:r>
        <w:rPr>
          <w:rFonts w:ascii="Arial" w:eastAsia="Times New Roman" w:hAnsi="Arial" w:cs="Arial"/>
        </w:rPr>
        <w:t>6  References</w:t>
      </w:r>
    </w:p>
    <w:p w14:paraId="57BDB0D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 R. Waser, M. Aono, Nanoionics-based resistive switching memories. Nature Materials 6, 833–840 (2007).</w:t>
      </w:r>
    </w:p>
    <w:p w14:paraId="2335A3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5BCF95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45A88FA5" w14:textId="77777777" w:rsidR="001761AA" w:rsidRDefault="001761AA">
      <w:pPr>
        <w:spacing w:after="60"/>
        <w:ind w:hanging="480"/>
        <w:divId w:val="1197347534"/>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E9B95D7" w14:textId="77777777" w:rsidR="001761AA" w:rsidRDefault="001761AA">
      <w:pPr>
        <w:spacing w:after="60"/>
        <w:ind w:hanging="480"/>
        <w:divId w:val="1197347534"/>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1D03E55" w14:textId="77777777" w:rsidR="001761AA" w:rsidRDefault="001761AA">
      <w:pPr>
        <w:spacing w:after="60"/>
        <w:ind w:hanging="480"/>
        <w:divId w:val="1197347534"/>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CF42C02" w14:textId="77777777" w:rsidR="001761AA" w:rsidRDefault="001761AA">
      <w:pPr>
        <w:spacing w:after="60"/>
        <w:ind w:hanging="480"/>
        <w:divId w:val="1197347534"/>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0E48F623" w14:textId="77777777" w:rsidR="001761AA" w:rsidRDefault="001761AA">
      <w:pPr>
        <w:spacing w:after="60"/>
        <w:ind w:hanging="480"/>
        <w:divId w:val="1197347534"/>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2017530A" w14:textId="77777777" w:rsidR="001761AA" w:rsidRDefault="001761AA">
      <w:pPr>
        <w:spacing w:after="60"/>
        <w:ind w:hanging="480"/>
        <w:divId w:val="1197347534"/>
        <w:rPr>
          <w:rFonts w:ascii="Arial" w:hAnsi="Arial" w:cs="Arial"/>
          <w:sz w:val="18"/>
          <w:szCs w:val="18"/>
        </w:rPr>
      </w:pPr>
      <w:r>
        <w:rPr>
          <w:rFonts w:ascii="Arial" w:hAnsi="Arial" w:cs="Arial"/>
          <w:sz w:val="18"/>
          <w:szCs w:val="18"/>
        </w:rPr>
        <w:t>[9]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9D974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659683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0EFEFC4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[12]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672075B9" w14:textId="77777777" w:rsidR="001761AA" w:rsidRDefault="001761AA">
      <w:pPr>
        <w:spacing w:after="60"/>
        <w:ind w:hanging="480"/>
        <w:divId w:val="1197347534"/>
        <w:rPr>
          <w:rFonts w:ascii="Arial" w:hAnsi="Arial" w:cs="Arial"/>
          <w:sz w:val="18"/>
          <w:szCs w:val="18"/>
        </w:rPr>
      </w:pPr>
      <w:r>
        <w:rPr>
          <w:rFonts w:ascii="Arial" w:hAnsi="Arial" w:cs="Arial"/>
          <w:sz w:val="18"/>
          <w:szCs w:val="18"/>
        </w:rPr>
        <w:t>[13]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63511CD0" w14:textId="77777777" w:rsidR="001761AA" w:rsidRDefault="001761AA">
      <w:pPr>
        <w:spacing w:after="60"/>
        <w:ind w:hanging="480"/>
        <w:divId w:val="1197347534"/>
        <w:rPr>
          <w:rFonts w:ascii="Arial" w:hAnsi="Arial" w:cs="Arial"/>
          <w:sz w:val="18"/>
          <w:szCs w:val="18"/>
        </w:rPr>
      </w:pPr>
      <w:r>
        <w:rPr>
          <w:rFonts w:ascii="Arial" w:hAnsi="Arial" w:cs="Arial"/>
          <w:sz w:val="18"/>
          <w:szCs w:val="18"/>
        </w:rPr>
        <w:t>[14]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39CB32E7" w14:textId="77777777" w:rsidR="001761AA" w:rsidRDefault="001761AA">
      <w:pPr>
        <w:spacing w:after="60"/>
        <w:ind w:hanging="480"/>
        <w:divId w:val="1197347534"/>
        <w:rPr>
          <w:rFonts w:ascii="Arial" w:hAnsi="Arial" w:cs="Arial"/>
          <w:sz w:val="18"/>
          <w:szCs w:val="18"/>
        </w:rPr>
      </w:pPr>
      <w:r>
        <w:rPr>
          <w:rFonts w:ascii="Arial" w:hAnsi="Arial" w:cs="Arial"/>
          <w:sz w:val="18"/>
          <w:szCs w:val="18"/>
        </w:rPr>
        <w:t>[15]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436C8B8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630A7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398EEA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1D08E82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79BF8F7C" w14:textId="77777777" w:rsidR="001761AA" w:rsidRDefault="001761AA">
      <w:pPr>
        <w:spacing w:after="60"/>
        <w:ind w:hanging="480"/>
        <w:divId w:val="1197347534"/>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44F08E65" w14:textId="77777777" w:rsidR="001761AA" w:rsidRDefault="001761AA">
      <w:pPr>
        <w:spacing w:after="60"/>
        <w:ind w:hanging="480"/>
        <w:divId w:val="1197347534"/>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1197347534"/>
        <w:rPr>
          <w:rFonts w:ascii="Arial" w:hAnsi="Arial" w:cs="Arial"/>
          <w:sz w:val="18"/>
          <w:szCs w:val="18"/>
        </w:rPr>
      </w:pPr>
      <w:r>
        <w:rPr>
          <w:rFonts w:ascii="Arial" w:hAnsi="Arial" w:cs="Arial"/>
          <w:sz w:val="18"/>
          <w:szCs w:val="18"/>
        </w:rPr>
        <w:t xml:space="preserve">[22] J. A. Santana, J. T. Krogel, P. R. C. Kent, F. A. Reboredo, Diffusion quantum Monte Carlo calculations of SrFeO3 and LaFeO3. The Journal of Chemical Physics 147, 034701 (2017).</w:t>
      </w:r>
    </w:p>
    <w:p>
      <w:pPr>
        <w:spacing w:after="60"/>
        <w:ind w:hanging="480"/>
        <w:divId w:val="1197347534"/>
        <w:rPr>
          <w:rFonts w:ascii="Arial" w:hAnsi="Arial" w:cs="Arial"/>
          <w:sz w:val="18"/>
          <w:szCs w:val="18"/>
        </w:rPr>
      </w:pPr>
      <w:r>
        <w:rPr>
          <w:rFonts w:ascii="Arial" w:hAnsi="Arial" w:cs="Arial"/>
          <w:sz w:val="18"/>
          <w:szCs w:val="18"/>
        </w:rPr>
        <w:t xml:space="preserve">[23] C. Song, H. Luo, J. Xu, Y. Song, Q. Hu, Density functional theory study on conduction mechanisms in LaFeO3 nanofibers for resistive random access memory. Ionics 32, 2427–2437 (2026).</w:t>
      </w:r>
    </w:p>
    <w:p>
      <w:pPr>
        <w:spacing w:after="60"/>
        <w:ind w:hanging="480"/>
        <w:divId w:val="1197347534"/>
        <w:rPr>
          <w:rFonts w:ascii="Arial" w:hAnsi="Arial" w:cs="Arial"/>
          <w:sz w:val="18"/>
          <w:szCs w:val="18"/>
        </w:rPr>
      </w:pPr>
      <w:r>
        <w:rPr>
          <w:rFonts w:ascii="Arial" w:hAnsi="Arial" w:cs="Arial"/>
          <w:sz w:val="18"/>
          <w:szCs w:val="18"/>
        </w:rPr>
        <w:t xml:space="preserve">[24] J. Zaanen, G. A. Sawatzky, J. W. Allen, Band gaps and electronic structure of transition-metal compounds. Physical Review Letters 55, 418–421 (1985).</w:t>
      </w:r>
    </w:p>
    <w:p>
      <w:pPr>
        <w:spacing w:after="60"/>
        <w:ind w:hanging="480"/>
        <w:divId w:val="1197347534"/>
        <w:rPr>
          <w:rFonts w:ascii="Arial" w:hAnsi="Arial" w:cs="Arial"/>
          <w:sz w:val="18"/>
          <w:szCs w:val="18"/>
        </w:rPr>
      </w:pPr>
      <w:r>
        <w:rPr>
          <w:rFonts w:ascii="Arial" w:hAnsi="Arial" w:cs="Arial"/>
          <w:sz w:val="18"/>
          <w:szCs w:val="18"/>
        </w:rPr>
        <w:t xml:space="preserve">[25] A. Fujimori, F. Minami, Valence-band photoemission and optical absorption in nickel compounds. Physical Review B 30, 957–971 (1984).</w:t>
      </w:r>
    </w:p>
    <w:p>
      <w:pPr>
        <w:spacing w:after="60"/>
        <w:ind w:hanging="480"/>
        <w:divId w:val="1197347534"/>
        <w:rPr>
          <w:rFonts w:ascii="Arial" w:hAnsi="Arial" w:cs="Arial"/>
          <w:sz w:val="18"/>
          <w:szCs w:val="18"/>
        </w:rPr>
      </w:pPr>
      <w:r>
        <w:rPr>
          <w:rFonts w:ascii="Arial" w:hAnsi="Arial" w:cs="Arial"/>
          <w:sz w:val="18"/>
          <w:szCs w:val="18"/>
        </w:rPr>
        <w:t xml:space="preserve">[26] A. E. Bocquet, T. Mizokawa, T. Saitoh, H. Namatame, A. Fujimori, Electronic structure of 3d-transition-metal compounds by analysis of the 2p core-level photoemission spectra. Physical Review B 46, 3771–3784 (1992).</w:t>
      </w:r>
    </w:p>
    <w:p>
      <w:pPr>
        <w:spacing w:after="60"/>
        <w:ind w:hanging="480"/>
        <w:divId w:val="1197347534"/>
        <w:rPr>
          <w:rFonts w:ascii="Arial" w:hAnsi="Arial" w:cs="Arial"/>
          <w:sz w:val="18"/>
          <w:szCs w:val="18"/>
        </w:rPr>
      </w:pPr>
      <w:r>
        <w:rPr>
          <w:rFonts w:ascii="Arial" w:hAnsi="Arial" w:cs="Arial"/>
          <w:sz w:val="18"/>
          <w:szCs w:val="18"/>
        </w:rPr>
        <w:t xml:space="preserve">[27] T. Saitoh, A. E. Bocquet, T. Mizokawa, A. Fujimori, Systematic variation of the electronic structure of 3d transition-metal compounds. Physical Review B 52, 7934–7938 (1995).</w:t>
      </w:r>
    </w:p>
    <w:p>
      <w:pPr>
        <w:spacing w:after="60"/>
        <w:ind w:hanging="480"/>
        <w:divId w:val="1197347534"/>
        <w:rPr>
          <w:rFonts w:ascii="Arial" w:hAnsi="Arial" w:cs="Arial"/>
          <w:sz w:val="18"/>
          <w:szCs w:val="18"/>
        </w:rPr>
      </w:pPr>
      <w:r>
        <w:rPr>
          <w:rFonts w:ascii="Arial" w:hAnsi="Arial" w:cs="Arial"/>
          <w:sz w:val="18"/>
          <w:szCs w:val="18"/>
        </w:rPr>
        <w:t xml:space="preserve">[28] S. Nimkar, D. D. Sarma, H. R. Krishnamurthy, S. Ramasesha, Mean-field results of the multiple-band extended Hubbard model for the square-planar CuO2 lattice. Physical Review B 48, 7355–7363 (1993).</w:t>
      </w:r>
    </w:p>
    <w:p>
      <w:pPr>
        <w:spacing w:after="60"/>
        <w:ind w:hanging="480"/>
        <w:divId w:val="1197347534"/>
        <w:rPr>
          <w:rFonts w:ascii="Arial" w:hAnsi="Arial" w:cs="Arial"/>
          <w:sz w:val="18"/>
          <w:szCs w:val="18"/>
        </w:rPr>
      </w:pPr>
      <w:r>
        <w:rPr>
          <w:rFonts w:ascii="Arial" w:hAnsi="Arial" w:cs="Arial"/>
          <w:sz w:val="18"/>
          <w:szCs w:val="18"/>
        </w:rPr>
        <w:t xml:space="preserve">[29] F. M. F. de Groot, X-ray absorption and dichroism of transition metals and their compounds. Journal of Electron Spectroscopy and Related Phenomena 67, 529–622 (1994).</w:t>
      </w:r>
    </w:p>
    <w:p w14:paraId="5B938664" w14:textId="77777777" w:rsidR="001761AA" w:rsidRDefault="001761AA">
      <w:pPr>
        <w:spacing w:after="60"/>
        <w:ind w:hanging="480"/>
        <w:divId w:val="119734753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5979207" w14:textId="77777777" w:rsidR="001761AA" w:rsidRDefault="001761AA">
      <w:pPr>
        <w:spacing w:after="60"/>
        <w:ind w:hanging="480"/>
        <w:divId w:val="119734753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C9FF5E" w14:textId="77777777" w:rsidR="001761AA" w:rsidRDefault="001761AA">
      <w:pPr>
        <w:spacing w:after="60"/>
        <w:ind w:hanging="480"/>
        <w:divId w:val="119734753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7A569768" w14:textId="77777777" w:rsidR="001761AA" w:rsidRDefault="001761AA">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D41E61"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6FB5DF3"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502624"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538F13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9E26E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4790E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44011F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96C88"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F563C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4EBA4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24C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D531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373C69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3AAA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6B53E"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23613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95879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8061D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A62C5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92326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A45BC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33D50CF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314DF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9DC4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F5FA399" w14:textId="77777777" w:rsidR="001761AA" w:rsidRDefault="001761AA">
      <w:pPr>
        <w:pStyle w:val="Heading2"/>
        <w:rPr>
          <w:rFonts w:ascii="Arial" w:eastAsia="Times New Roman" w:hAnsi="Arial" w:cs="Arial"/>
        </w:rPr>
      </w:pPr>
      <w:r>
        <w:rPr>
          <w:rFonts w:ascii="Arial" w:eastAsia="Times New Roman" w:hAnsi="Arial" w:cs="Arial"/>
        </w:rPr>
        <w:t>Fellowship benefits (for orientation, as of 2026)</w:t>
      </w:r>
    </w:p>
    <w:p w14:paraId="6313D0B7" w14:textId="77777777" w:rsidR="001761AA" w:rsidRDefault="001761AA">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1761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DB9"/>
    <w:rsid w:val="00107DB9"/>
    <w:rsid w:val="001761AA"/>
    <w:rsid w:val="004F21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4349C8"/>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53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2259</Words>
  <Characters>12880</Characters>
  <Application>Microsoft Office Word</Application>
  <DocSecurity>4</DocSecurity>
  <Lines>107</Lines>
  <Paragraphs>30</Paragraphs>
  <ScaleCrop>false</ScaleCrop>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