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Alexander von Humboldt Foundation – Feodor Lynen Research Fellowship for Postdoctoral Researchers</w:t>
      </w:r>
    </w:p>
    <w:p>
      <w:pPr>
        <w:pStyle w:val="Title"/>
      </w:pPr>
      <w:r>
        <w:t xml:space="preserve">Application for a Feodor Lynen Research Fellowship</w:t>
      </w:r>
    </w:p>
    <w:p>
      <w:pPr>
        <w:spacing w:after="120"/>
      </w:pPr>
      <w:r>
        <w:rPr>
          <w:b/>
          <w:bCs/>
          <w:sz w:val="24"/>
          <w:szCs w:val="24"/>
        </w:rPr>
        <w:t xml:space="preserve">Covalency as an Experimental Descriptor of Memristive Switching: the La1-xSrxCoO3-δ Series with its Switching-Proven SrCoOx End Member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Mar>
              <w:top w:type="dxa" w:w="50"/>
              <w:left w:type="dxa" w:w="90"/>
              <w:bottom w:type="dxa" w:w="50"/>
              <w:right w:type="dxa" w:w="90"/>
            </w:tcMar>
          </w:tcPr>
          <w:p>
            <w:r>
              <w:rPr>
                <w:b w:val="false"/>
                <w:bCs w:val="false"/>
                <w:sz w:val="19"/>
                <w:szCs w:val="19"/>
              </w:rPr>
              <w:t xml:space="preserve">Applicant</w:t>
            </w:r>
          </w:p>
        </w:tc>
        <w:tc>
          <w:tcPr>
            <w:tcW w:type="dxa" w:w="70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000"/>
            <w:tcMar>
              <w:top w:type="dxa" w:w="50"/>
              <w:left w:type="dxa" w:w="90"/>
              <w:bottom w:type="dxa" w:w="50"/>
              <w:right w:type="dxa" w:w="90"/>
            </w:tcMar>
          </w:tcPr>
          <w:p>
            <w:r>
              <w:rPr>
                <w:b w:val="false"/>
                <w:bCs w:val="false"/>
                <w:sz w:val="19"/>
                <w:szCs w:val="19"/>
              </w:rPr>
              <w:t xml:space="preserve">Host</w:t>
            </w:r>
          </w:p>
        </w:tc>
        <w:tc>
          <w:tcPr>
            <w:tcW w:type="dxa" w:w="70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 Friedrich Wilhelm Bessel Research Award winner of the AvH Foundation (2021), member of the Humboldt Network</w:t>
            </w:r>
          </w:p>
        </w:tc>
      </w:tr>
      <w:tr>
        <w:tc>
          <w:tcPr>
            <w:tcW w:type="dxa" w:w="2000"/>
            <w:tcMar>
              <w:top w:type="dxa" w:w="50"/>
              <w:left w:type="dxa" w:w="90"/>
              <w:bottom w:type="dxa" w:w="50"/>
              <w:right w:type="dxa" w:w="90"/>
            </w:tcMar>
          </w:tcPr>
          <w:p>
            <w:r>
              <w:rPr>
                <w:b w:val="false"/>
                <w:bCs w:val="false"/>
                <w:sz w:val="19"/>
                <w:szCs w:val="19"/>
              </w:rPr>
              <w:t xml:space="preserve">Host institution</w:t>
            </w:r>
          </w:p>
        </w:tc>
        <w:tc>
          <w:tcPr>
            <w:tcW w:type="dxa" w:w="7072"/>
            <w:tcMar>
              <w:top w:type="dxa" w:w="50"/>
              <w:left w:type="dxa" w:w="90"/>
              <w:bottom w:type="dxa" w:w="50"/>
              <w:right w:type="dxa" w:w="90"/>
            </w:tcMar>
          </w:tcPr>
          <w:p>
            <w:r>
              <w:rPr>
                <w:b w:val="false"/>
                <w:bCs w:val="false"/>
                <w:sz w:val="19"/>
                <w:szCs w:val="19"/>
              </w:rPr>
              <w:t xml:space="preserve">Stanford University / SLAC National Accelerator Laboratory (Stanford Synchrotron Radiation Lightsource, SSRL)</w:t>
            </w:r>
          </w:p>
        </w:tc>
      </w:tr>
      <w:tr>
        <w:tc>
          <w:tcPr>
            <w:tcW w:type="dxa" w:w="2000"/>
            <w:tcMar>
              <w:top w:type="dxa" w:w="50"/>
              <w:left w:type="dxa" w:w="90"/>
              <w:bottom w:type="dxa" w:w="50"/>
              <w:right w:type="dxa" w:w="90"/>
            </w:tcMar>
          </w:tcPr>
          <w:p>
            <w:r>
              <w:rPr>
                <w:b w:val="false"/>
                <w:bCs w:val="false"/>
                <w:sz w:val="19"/>
                <w:szCs w:val="19"/>
              </w:rPr>
              <w:t xml:space="preserve">Duration</w:t>
            </w:r>
          </w:p>
        </w:tc>
        <w:tc>
          <w:tcPr>
            <w:tcW w:type="dxa" w:w="7072"/>
            <w:tcMar>
              <w:top w:type="dxa" w:w="50"/>
              <w:left w:type="dxa" w:w="90"/>
              <w:bottom w:type="dxa" w:w="50"/>
              <w:right w:type="dxa" w:w="90"/>
            </w:tcMar>
          </w:tcPr>
          <w:p>
            <w:r>
              <w:rPr>
                <w:b w:val="false"/>
                <w:bCs w:val="false"/>
                <w:sz w:val="19"/>
                <w:szCs w:val="19"/>
              </w:rPr>
              <w:t xml:space="preserve">24 months, starting [e.g. Q2/2027; fellowship must begin 2–12 months after the selection meeting]</w:t>
            </w:r>
          </w:p>
        </w:tc>
      </w:tr>
      <w:tr>
        <w:tc>
          <w:tcPr>
            <w:tcW w:type="dxa" w:w="2000"/>
            <w:tcMar>
              <w:top w:type="dxa" w:w="50"/>
              <w:left w:type="dxa" w:w="90"/>
              <w:bottom w:type="dxa" w:w="50"/>
              <w:right w:type="dxa" w:w="90"/>
            </w:tcMar>
          </w:tcPr>
          <w:p>
            <w:r>
              <w:rPr>
                <w:b w:val="false"/>
                <w:bCs w:val="false"/>
                <w:sz w:val="19"/>
                <w:szCs w:val="19"/>
              </w:rPr>
              <w:t xml:space="preserve">Programme line</w:t>
            </w:r>
          </w:p>
        </w:tc>
        <w:tc>
          <w:tcPr>
            <w:tcW w:type="dxa" w:w="7072"/>
            <w:tcMar>
              <w:top w:type="dxa" w:w="50"/>
              <w:left w:type="dxa" w:w="90"/>
              <w:bottom w:type="dxa" w:w="50"/>
              <w:right w:type="dxa" w:w="90"/>
            </w:tcMar>
          </w:tcPr>
          <w:p>
            <w:r>
              <w:rPr>
                <w:b w:val="false"/>
                <w:bCs w:val="false"/>
                <w:sz w:val="19"/>
                <w:szCs w:val="19"/>
              </w:rPr>
              <w:t xml:space="preserve">Postdoctoral researchers (doctorate 2026, i.e. within the four-year window)</w:t>
            </w:r>
          </w:p>
        </w:tc>
      </w:tr>
      <w:tr>
        <w:tc>
          <w:tcPr>
            <w:tcW w:type="dxa" w:w="2000"/>
            <w:tcMar>
              <w:top w:type="dxa" w:w="50"/>
              <w:left w:type="dxa" w:w="90"/>
              <w:bottom w:type="dxa" w:w="50"/>
              <w:right w:type="dxa" w:w="90"/>
            </w:tcMar>
          </w:tcPr>
          <w:p>
            <w:r>
              <w:rPr>
                <w:b w:val="false"/>
                <w:bCs w:val="false"/>
                <w:sz w:val="19"/>
                <w:szCs w:val="19"/>
              </w:rPr>
              <w:t xml:space="preserve">Targeted selection round</w:t>
            </w:r>
          </w:p>
        </w:tc>
        <w:tc>
          <w:tcPr>
            <w:tcW w:type="dxa" w:w="7072"/>
            <w:tcMar>
              <w:top w:type="dxa" w:w="50"/>
              <w:left w:type="dxa" w:w="90"/>
              <w:bottom w:type="dxa" w:w="50"/>
              <w:right w:type="dxa" w:w="90"/>
            </w:tcMar>
          </w:tcPr>
          <w:p>
            <w:r>
              <w:rPr>
                <w:b w:val="false"/>
                <w:bCs w:val="false"/>
                <w:sz w:val="19"/>
                <w:szCs w:val="19"/>
              </w:rPr>
              <w:t xml:space="preserve">[February/June/October; submission recommended 4–7 months in advance]</w:t>
            </w:r>
          </w:p>
        </w:tc>
      </w:tr>
    </w:tbl>
    <w:p>
      <w:pPr>
        <w:spacing w:after="120"/>
      </w:pPr>
      <w:r>
        <w:rPr>
          <w:i/>
          <w:iCs/>
          <w:sz w:val="18"/>
          <w:szCs w:val="18"/>
        </w:rPr>
        <w:t xml:space="preserve">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 This material set was added on 09.08.2026 after a systematic family screening (see Materialscreening_2026-08-09) against three evidence criteria: covalency-vs-stoichiometry (XAS), EV-vs-covalency, and demonstrated switching at a noble-metal interface.</w:t>
      </w:r>
    </w:p>
    <w:p>
      <w:pPr>
        <w:pStyle w:val="Heading1"/>
        <w:spacing w:after="120" w:before="240"/>
      </w:pPr>
      <w:r>
        <w:t xml:space="preserve">Research Proposal (Exposé)</w:t>
      </w:r>
    </w:p>
    <w:p>
      <w:pPr>
        <w:pStyle w:val="Heading2"/>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Energy research, by contrast, has quantitatively established that EV in perovskites is controlled by the metal–oxygen covalency [5–8]. My project connects these two worlds experimentally – using La1-xSrxCoO3-δ (LSCO), the cobaltite series with the most explicitly documented covalency→EV link of any perovskite family.</w:t>
      </w:r>
    </w:p>
    <w:p>
      <w:pPr>
        <w:spacing w:after="120"/>
      </w:pPr>
      <w:r>
        <w:t xml:space="preserve">LSCO satisfies all three evidence criteria of my descriptor programme. (i) Covalency vs. stoichiometry is measured: O-1s XAS across the series shows the O-2p hole states growing systematically with Sr content [9], </w:t>
      </w:r>
      <w:r>
        <w:t xml:space="preserve">with the O-K pre-edge usable as a series-internal hybridisation measure [12, 13]</w:t>
      </w:r>
      <w:r>
        <w:t xml:space="preserve">. (ii) EV vs. covalency is anchored twice over – experimentally through the classical oxygen-nonstoichiometry defect chemistry of Mizusaki et al. [10], and mechanistically through Mefford et al., who explicitly trace the vacancy formation energetics of LSCO to the Co–O covalency [11]. (iii) Switching at a noble-metal interface is demonstrated at the Sr-rich end: the “oxygen sponge” SrCoOx [14] switches topotactically in Au-active stacks – Au/SrCoO2.5/La0.7Sr0.3MnO3 [15], Au/SrCoO2.5/Nb:SrTiO3 [16] – with analog synaptic operation [17], strain control [18] and low-power operation [19] all published. The gap: for intermediate compositions 0 &lt; x &lt; 1 only reactive-electrode (Ag) devices exist [21] – no noble-interface composition series. Because the end member already switches under inert electrodes, this gap is an optimisation space, not a feasibility risk: the project both maps the covalency correlation and optimises the switching window via the Sr content, in direct analogy to the ferrite series of my group programme (LSFO with its switching-proven SrFeOx end member).</w:t>
      </w:r>
    </w:p>
    <w:p>
      <w:pPr>
        <w:spacing w:after="120"/>
      </w:pPr>
      <w:r>
        <w:t xml:space="preserve">Known design constraints are addressed openly: LSCO metallises percolatively around x ≈ 0.18, Co spin-state degrees of freedom add a second electronic variable, and the Sr-rich end approaches brownmillerite vacancy ordering [14, 20]. The series therefore concentrates on x = 0–0.5 with dense sampling around the insulator–metal boundary and treats the topotactic end member as a charted mechanism boundary – the same honest framing that the ferrite series uses. My central hypothesis: the usable switching window of noble-contacted LSCO devices scales with the XAS-measured covalency and is maximal at intermediate x (“Goldilocks zone”).</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[26] and as extracted compound by compound by the configuration-interaction analyses of Fujimori, Bocquet, Saitoh, Sarma and co-workers [27–30]. O-K pre-edge intensities serve as a relative, series-internal hybridisation measure only; their limits as an absolute covalency scale (core-hole effects, ligand-hole distribution, band effects) are treated explicitly [31],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2"/>
        <w:spacing w:after="120" w:before="240"/>
      </w:pPr>
      <w:r>
        <w:t xml:space="preserve">2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[22–24]. The group’s seminal work on the redox activity of oxygen anions in oxygen-deficient perovskites [23] is a direct methodological blueprint for my project; the Nature Materials study on atomically defined LaNiO3 surfaces [24]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pPr>
        <w:spacing w:after="120"/>
      </w:pPr>
      <w:r>
        <w:t xml:space="preserve">[Host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2"/>
        <w:spacing w:after="120" w:before="240"/>
      </w:pPr>
      <w:r>
        <w:t xml:space="preserve">3  Work programme (24 months)</w:t>
      </w:r>
    </w:p>
    <w:p>
      <w:pPr>
        <w:spacing w:after="120"/>
      </w:pPr>
      <w:r>
        <w:rPr>
          <w:b/>
          <w:bCs/>
        </w:rPr>
        <w:t xml:space="preserve">WP1 – Synthesis and descriptor measurement (months 1–10)</w:t>
      </w:r>
    </w:p>
    <w:p>
      <w:pPr>
        <w:spacing w:after="120"/>
      </w:pPr>
      <w:r>
        <w:t xml:space="preserve">PLD growth of epitaxial La1-xSrxCoO3-δ films (x = 0; 0.1; 0.2; 0.3; 0.4; 0.5, dense sampling across the percolative metallisation) plus the SrCoO2.5 anchor composition on Nb:SrTiO3 and La0.7Sr0.3MnO3-buffered SrTiO3 in the Stanford/SLAC thin-film laboratories; structural validation (XRD, AFM); cation and oxygen stoichiometry (XPS, RBS where required). In parallel, first XAS campaign at SSRL: O-K pre-edge quantification following [12] and Co-L2,3 valence analysis for every composition → experimental covalency scale, benchmarked against the published series spectroscopy [9] and defect chemistry [10]. Milestone M1 (month 10): validated sample series with complete descriptor set.</w:t>
      </w:r>
    </w:p>
    <w:p>
      <w:pPr>
        <w:spacing w:after="120"/>
      </w:pPr>
      <w:r>
        <w:rPr>
          <w:b/>
          <w:bCs/>
        </w:rPr>
        <w:t xml:space="preserve">WP2 – Devices and switching characterisation (months 8–18)</w:t>
      </w:r>
    </w:p>
    <w:p>
      <w:pPr>
        <w:spacing w:after="120"/>
      </w:pPr>
      <w:r>
        <w:t xml:space="preserve">Two device flavours per composition, processed photolithographically with ≥ 30 nominally identical cells each: (i) Au-active pads replicating the proven end-member geometry [15, 16] across the whole series, and (ii) Pt pads as the second inert flavour. Quasistatic and pulsed characterisation under the statistics protocol established in my doctorate (ON/OFF at defined read-out voltage, forming requirement, kinetics, temperature-accelerated retention, endurance). The SrCoOx anchor cells reproduce the published benchmark and de-risk the processing. Milestone M2 (month 18): switching figures of merit as a function of x with robust statistics.</w:t>
      </w:r>
    </w:p>
    <w:p>
      <w:pPr>
        <w:spacing w:after="120"/>
      </w:pPr>
      <w:r>
        <w:rPr>
          <w:b/>
          <w:bCs/>
        </w:rPr>
        <w:t xml:space="preserve">WP3 – Correlation, operando validation and publication (months 16–24)</w:t>
      </w:r>
    </w:p>
    <w:p>
      <w:pPr>
        <w:spacing w:after="120"/>
      </w:pPr>
      <w:r>
        <w:t xml:space="preserve">Correlation analysis covalency (XAS) ↔ EV (defect chemistry [10], descriptor models [5–8, 11]) ↔ switching metrics; test of the optimum hypothesis. Second SSRL campaign: XAS on switched cells (ex-situ before/after switching, operando if successful) to verify that composition-dependent differences rest on different VO dynamics. Publication of the first covalency-resolved cobaltite memristor study; dataset released following FAIR principles. Milestone M3 (month 24): submitted publication(s), public dataset.</w:t>
      </w:r>
    </w:p>
    <w:p>
      <w:pPr>
        <w:pStyle w:val="Heading2"/>
        <w:spacing w:after="120" w:before="240"/>
      </w:pPr>
      <w:r>
        <w:t xml:space="preserve">4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2"/>
        <w:spacing w:after="120" w:before="240"/>
      </w:pPr>
      <w:r>
        <w:t xml:space="preserve">5  Career perspective and return strategy</w:t>
      </w:r>
    </w:p>
    <w:p>
      <w:pPr>
        <w:spacing w:after="120"/>
      </w:pPr>
      <w: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for the larger programme of a “treasure map” of memristive oxides in analogy to the bonding-descriptor maps of Wuttig et al. [25]. The choice of LSCO for this fellowship is deliberate: it is the one perovskite family whose covalency→EV link is already published in quantitative form [10, 11], so the fellowship data feed directly into the descriptor map of the subsequent group programme, and its cobaltite axis pairs naturally with the ferrite series (LSFO/SrFeOx) of the planned Emmy Noether/ERC programme.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pPr>
        <w:pStyle w:val="Heading2"/>
        <w:spacing w:after="120" w:before="240"/>
      </w:pPr>
      <w:r>
        <w:t xml:space="preserve">6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T. Saitoh et al., Electronic structure of La1-xSrxCoO3 studied by photoemission and x-ray-absorption spectroscopy. Physical Review B 56, 1290 (1997). [verify page range before submission]</w:t>
      </w:r>
    </w:p>
    <w:p>
      <w:pPr>
        <w:spacing w:after="120"/>
      </w:pPr>
      <w:r>
        <w:rPr>
          <w:sz w:val="18"/>
          <w:szCs w:val="18"/>
        </w:rPr>
        <w:t xml:space="preserve">[10] J. Mizusaki, Y. Mima, S. Yamauchi, K. Fueki, H. Tagawa, Nonstoichiometry of the perovskite-type oxides La1-xSrxCoO3-δ. Journal of Solid State Chemistry 80, 102–111 (1989).</w:t>
      </w:r>
    </w:p>
    <w:p>
      <w:pPr>
        <w:spacing w:after="120"/>
      </w:pPr>
      <w:r>
        <w:rPr>
          <w:sz w:val="18"/>
          <w:szCs w:val="18"/>
        </w:rPr>
        <w:t xml:space="preserve">[11] J. T. Mefford et al., Water electrolysis on La1-xSrxCoO3-δ perovskite electrocatalysts. Nature Communications 7, 11053 (2016).</w:t>
      </w:r>
    </w:p>
    <w:p>
      <w:pPr>
        <w:spacing w:after="120"/>
      </w:pPr>
      <w:r>
        <w:rPr>
          <w:sz w:val="18"/>
          <w:szCs w:val="18"/>
        </w:rPr>
        <w:t xml:space="preserve">[12]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[13] F. Frati, M. O. J. Y. Hunault, F. M. F. de Groot, Oxygen K-edge X-ray Absorption Spectra. Chemical Reviews 120, 4056–4110 (2020).</w:t>
      </w:r>
    </w:p>
    <w:p>
      <w:pPr>
        <w:spacing w:after="120"/>
      </w:pPr>
      <w:r>
        <w:rPr>
          <w:sz w:val="18"/>
          <w:szCs w:val="18"/>
        </w:rPr>
        <w:t xml:space="preserve">[14] H. Jeen et al., Reversible redox reactions in an epitaxially stabilized SrCoOx oxygen sponge. Nature Materials 12, 1057–1063 (2013).</w:t>
      </w:r>
    </w:p>
    <w:p>
      <w:pPr>
        <w:spacing w:after="120"/>
      </w:pPr>
      <w:r>
        <w:rPr>
          <w:sz w:val="18"/>
          <w:szCs w:val="18"/>
        </w:rPr>
        <w:t xml:space="preserve">[15] S. K. Acharya et al., Epitaxial Brownmillerite Oxide Thin Films for Reliable Switching Memory. ACS Applied Materials &amp; Interfaces 8, 7902–7911 (2016).</w:t>
      </w:r>
    </w:p>
    <w:p>
      <w:pPr>
        <w:spacing w:after="120"/>
      </w:pPr>
      <w:r>
        <w:rPr>
          <w:sz w:val="18"/>
          <w:szCs w:val="18"/>
        </w:rPr>
        <w:t xml:space="preserve">[16] V. R. Nallagatla et al., Topotactic Phase Transition Driving Memristive Behavior (SrFeO2.5/SrCoO2.5 devices). Advanced Materials 31, 1903391 (2019).</w:t>
      </w:r>
    </w:p>
    <w:p>
      <w:pPr>
        <w:spacing w:after="120"/>
      </w:pPr>
      <w:r>
        <w:rPr>
          <w:sz w:val="18"/>
          <w:szCs w:val="18"/>
        </w:rPr>
        <w:t xml:space="preserve">[17] X. Mou et al., Analog memristive synapse based on topotactic phase transition for high-performance neuromorphic computing and neural network pruning. Science Advances 7, eabh0648 (2021).</w:t>
      </w:r>
    </w:p>
    <w:p>
      <w:pPr>
        <w:spacing w:after="120"/>
      </w:pPr>
      <w:r>
        <w:rPr>
          <w:sz w:val="18"/>
          <w:szCs w:val="18"/>
        </w:rPr>
        <w:t xml:space="preserve">[18] X. Xiang et al., Manipulating the Resistive Switching in Epitaxial SrCoO2.5 Thin-Film-Based Memristors by Strain Engineering. ACS Applied Electronic Materials 4, 2729–2738 (2022).</w:t>
      </w:r>
    </w:p>
    <w:p>
      <w:pPr>
        <w:spacing w:after="120"/>
      </w:pPr>
      <w:r>
        <w:rPr>
          <w:sz w:val="18"/>
          <w:szCs w:val="18"/>
        </w:rPr>
        <w:t xml:space="preserve">[19] H.-Y. Lo et al., Observing topotactic phase transformation and resistive switching behaviors in low power SrCoOx memristor. Nano Energy 72, 104683 (2020).</w:t>
      </w:r>
    </w:p>
    <w:p>
      <w:pPr>
        <w:spacing w:after="120"/>
      </w:pPr>
      <w:r>
        <w:rPr>
          <w:sz w:val="18"/>
          <w:szCs w:val="18"/>
        </w:rPr>
        <w:t xml:space="preserve">[20] M. Kubicek et al., Tensile Lattice Strain Accelerates Oxygen Surface Exchange and Diffusion in La1-xSrxCoO3-δ Thin Films. ACS Nano 7, 3276–3286 (2013).</w:t>
      </w:r>
    </w:p>
    <w:p>
      <w:pPr>
        <w:spacing w:after="120"/>
      </w:pPr>
      <w:r>
        <w:rPr>
          <w:sz w:val="18"/>
          <w:szCs w:val="18"/>
        </w:rPr>
        <w:t xml:space="preserve">[21] Ag/La0.5Sr0.5CoO3-δ/Pt resistive switching. Applied Physics Letters 104, 223505 (2014). [reactive-electrode prior art; complete author list and title before submission]</w:t>
      </w:r>
    </w:p>
    <w:p>
      <w:pPr>
        <w:spacing w:after="120"/>
      </w:pPr>
      <w:r>
        <w:rPr>
          <w:sz w:val="18"/>
          <w:szCs w:val="18"/>
        </w:rPr>
        <w:t xml:space="preserve">[22]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[23]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[24]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[25] M. Wuttig et al., Revisiting the Nature of Chemical Bonding in Chalcogenides to Explain and Design their Properties. Advanced Materials 35, 2208485 (2023).</w:t>
      </w:r>
    </w:p>
    <w:p>
      <w:pPr>
        <w:spacing w:after="120"/>
      </w:pPr>
      <w:r>
        <w:rPr>
          <w:sz w:val="18"/>
          <w:szCs w:val="18"/>
        </w:rPr>
        <w:t xml:space="preserve">[26] J. Zaanen, G. A. Sawatzky, J. W. Allen, Band gaps and electronic structure of transition-metal compounds. Physical Review Letters 55, 418–421 (1985).</w:t>
      </w:r>
    </w:p>
    <w:p>
      <w:pPr>
        <w:spacing w:after="120"/>
      </w:pPr>
      <w:r>
        <w:rPr>
          <w:sz w:val="18"/>
          <w:szCs w:val="18"/>
        </w:rPr>
        <w:t xml:space="preserve">[27] A. Fujimori, F. Minami, Valence-band photoemission and optical absorption in nickel compounds. Physical Review B 30, 957–971 (1984).</w:t>
      </w:r>
    </w:p>
    <w:p>
      <w:pPr>
        <w:spacing w:after="120"/>
      </w:pPr>
      <w:r>
        <w:rPr>
          <w:sz w:val="18"/>
          <w:szCs w:val="18"/>
        </w:rPr>
        <w:t xml:space="preserve">[28]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[29] T. Saitoh, A. E. Bocquet, T. Mizokawa, A. Fujimori, Systematic variation of the electronic structure of 3d transition-metal compounds. Physical Review B 52, 7934–7938 (1995).</w:t>
      </w:r>
    </w:p>
    <w:p>
      <w:pPr>
        <w:spacing w:after="120"/>
      </w:pPr>
      <w:r>
        <w:rPr>
          <w:sz w:val="18"/>
          <w:szCs w:val="18"/>
        </w:rPr>
        <w:t xml:space="preserve">[30] S. Nimkar, D. D. Sarma, H. R. Krishnamurthy, S. Ramasesha, Mean-field results of the multiple-band extended Hubbard model for the square-planar CuO2 lattice. Physical Review B 48, 7355–7363 (1993).</w:t>
      </w:r>
    </w:p>
    <w:p>
      <w:pPr>
        <w:spacing w:after="120"/>
      </w:pPr>
      <w:r>
        <w:rPr>
          <w:sz w:val="18"/>
          <w:szCs w:val="18"/>
        </w:rPr>
        <w:t xml:space="preserve">[31]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spacing w:after="120"/>
      </w:pPr>
      <w:r>
        <w:rPr>
          <w:sz w:val="18"/>
          <w:szCs w:val="18"/>
        </w:rPr>
        <w:t xml:space="preserve">[E4] M. Buczek, [co-authors], W. C. Chueh, [working title: An experimental covalency scale for memristive La1-xSrxCoO3-δ]. Manuscript in preparation (Feodor Lynen fellowship; update status at submission time).</w:t>
      </w:r>
    </w:p>
    <w:p>
      <w:pPr>
        <w:pStyle w:val="Heading1"/>
        <w:spacing w:after="120" w:before="240"/>
      </w:pPr>
      <w:r>
        <w:t xml:space="preserve">Checklist of Further Application Documents (AvH online portal)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5772"/>
      </w:tblGrid>
      <w:tr>
        <w:tc>
          <w:tcPr>
            <w:tcW w:type="dxa" w:w="3300"/>
            <w:shd w:fill="EEF1F5" w:val="clear"/>
            <w:tcMar>
              <w:top w:type="dxa" w:w="50"/>
              <w:left w:type="dxa" w:w="90"/>
              <w:bottom w:type="dxa" w:w="50"/>
              <w:right w:type="dxa" w:w="90"/>
            </w:tcMar>
          </w:tcPr>
          <w:p>
            <w:r>
              <w:rPr>
                <w:b/>
                <w:bCs/>
                <w:sz w:val="19"/>
                <w:szCs w:val="19"/>
              </w:rPr>
              <w:t xml:space="preserve">Document</w:t>
            </w:r>
          </w:p>
        </w:tc>
        <w:tc>
          <w:tcPr>
            <w:tcW w:type="dxa" w:w="5772"/>
            <w:shd w:fill="EEF1F5" w:val="clear"/>
            <w:tcMar>
              <w:top w:type="dxa" w:w="50"/>
              <w:left w:type="dxa" w:w="90"/>
              <w:bottom w:type="dxa" w:w="50"/>
              <w:right w:type="dxa" w:w="90"/>
            </w:tcMar>
          </w:tcPr>
          <w:p>
            <w:r>
              <w:rPr>
                <w:b/>
                <w:bCs/>
                <w:sz w:val="19"/>
                <w:szCs w:val="19"/>
              </w:rPr>
              <w:t xml:space="preserve">Status / note</w:t>
            </w:r>
          </w:p>
        </w:tc>
      </w:tr>
      <w:tr>
        <w:tc>
          <w:tcPr>
            <w:tcW w:type="dxa" w:w="3300"/>
            <w:tcMar>
              <w:top w:type="dxa" w:w="50"/>
              <w:left w:type="dxa" w:w="90"/>
              <w:bottom w:type="dxa" w:w="50"/>
              <w:right w:type="dxa" w:w="90"/>
            </w:tcMar>
          </w:tcPr>
          <w:p>
            <w:r>
              <w:rPr>
                <w:b w:val="false"/>
                <w:bCs w:val="false"/>
                <w:sz w:val="19"/>
                <w:szCs w:val="19"/>
              </w:rPr>
              <w:t xml:space="preserve">Curriculum vitae (max. 2 pages)</w:t>
            </w:r>
          </w:p>
        </w:tc>
        <w:tc>
          <w:tcPr>
            <w:tcW w:type="dxa" w:w="5772"/>
            <w:tcMar>
              <w:top w:type="dxa" w:w="50"/>
              <w:left w:type="dxa" w:w="90"/>
              <w:bottom w:type="dxa" w:w="50"/>
              <w:right w:type="dxa" w:w="90"/>
            </w:tcMar>
          </w:tcPr>
          <w:p>
            <w:r>
              <w:rPr>
                <w:b w:val="false"/>
                <w:bCs w:val="false"/>
                <w:sz w:val="19"/>
                <w:szCs w:val="19"/>
              </w:rPr>
              <w:t xml:space="preserve">Condense from CV_Max_Buczek; focus: doctorate, methodological profile, publications, supervision</w:t>
            </w:r>
          </w:p>
        </w:tc>
      </w:tr>
      <w:tr>
        <w:tc>
          <w:tcPr>
            <w:tcW w:type="dxa" w:w="3300"/>
            <w:tcMar>
              <w:top w:type="dxa" w:w="50"/>
              <w:left w:type="dxa" w:w="90"/>
              <w:bottom w:type="dxa" w:w="50"/>
              <w:right w:type="dxa" w:w="90"/>
            </w:tcMar>
          </w:tcPr>
          <w:p>
            <w:r>
              <w:rPr>
                <w:b w:val="false"/>
                <w:bCs w:val="false"/>
                <w:sz w:val="19"/>
                <w:szCs w:val="19"/>
              </w:rPr>
              <w:t xml:space="preserve">Research proposal (max. 5 pages)</w:t>
            </w:r>
          </w:p>
        </w:tc>
        <w:tc>
          <w:tcPr>
            <w:tcW w:type="dxa" w:w="5772"/>
            <w:tcMar>
              <w:top w:type="dxa" w:w="50"/>
              <w:left w:type="dxa" w:w="90"/>
              <w:bottom w:type="dxa" w:w="50"/>
              <w:right w:type="dxa" w:w="90"/>
            </w:tcMar>
          </w:tcPr>
          <w:p>
            <w:r>
              <w:rPr>
                <w:b w:val="false"/>
                <w:bCs w:val="false"/>
                <w:sz w:val="19"/>
                <w:szCs w:val="19"/>
              </w:rPr>
              <w:t xml:space="preserve">This exposé – coordinate with Prof. Chueh before submission (AvH requirement: independently developed, coordinated with the host)</w:t>
            </w:r>
          </w:p>
        </w:tc>
      </w:tr>
      <w:tr>
        <w:tc>
          <w:tcPr>
            <w:tcW w:type="dxa" w:w="3300"/>
            <w:tcMar>
              <w:top w:type="dxa" w:w="50"/>
              <w:left w:type="dxa" w:w="90"/>
              <w:bottom w:type="dxa" w:w="50"/>
              <w:right w:type="dxa" w:w="90"/>
            </w:tcMar>
          </w:tcPr>
          <w:p>
            <w:r>
              <w:rPr>
                <w:b w:val="false"/>
                <w:bCs w:val="false"/>
                <w:sz w:val="19"/>
                <w:szCs w:val="19"/>
              </w:rPr>
              <w:t xml:space="preserve">Complete list of publications</w:t>
            </w:r>
          </w:p>
        </w:tc>
        <w:tc>
          <w:tcPr>
            <w:tcW w:type="dxa" w:w="5772"/>
            <w:tcMar>
              <w:top w:type="dxa" w:w="50"/>
              <w:left w:type="dxa" w:w="90"/>
              <w:bottom w:type="dxa" w:w="50"/>
              <w:right w:type="dxa" w:w="90"/>
            </w:tcMar>
          </w:tcPr>
          <w:p>
            <w:r>
              <w:rPr>
                <w:b w:val="false"/>
                <w:bCs w:val="false"/>
                <w:sz w:val="19"/>
                <w:szCs w:val="19"/>
              </w:rPr>
              <w:t xml:space="preserve">Incl. conference contributions and patent application</w:t>
            </w:r>
          </w:p>
        </w:tc>
      </w:tr>
      <w:tr>
        <w:tc>
          <w:tcPr>
            <w:tcW w:type="dxa" w:w="3300"/>
            <w:tcMar>
              <w:top w:type="dxa" w:w="50"/>
              <w:left w:type="dxa" w:w="90"/>
              <w:bottom w:type="dxa" w:w="50"/>
              <w:right w:type="dxa" w:w="90"/>
            </w:tcMar>
          </w:tcPr>
          <w:p>
            <w:r>
              <w:rPr>
                <w:b w:val="false"/>
                <w:bCs w:val="false"/>
                <w:sz w:val="19"/>
                <w:szCs w:val="19"/>
              </w:rPr>
              <w:t xml:space="preserve">1–3 key publications with justification</w:t>
            </w:r>
          </w:p>
        </w:tc>
        <w:tc>
          <w:tcPr>
            <w:tcW w:type="dxa" w:w="5772"/>
            <w:tcMar>
              <w:top w:type="dxa" w:w="50"/>
              <w:left w:type="dxa" w:w="90"/>
              <w:bottom w:type="dxa" w:w="50"/>
              <w:right w:type="dxa" w:w="90"/>
            </w:tcMar>
          </w:tcPr>
          <w:p>
            <w:r>
              <w:rPr>
                <w:b w:val="false"/>
                <w:bCs w:val="false"/>
                <w:sz w:val="19"/>
                <w:szCs w:val="19"/>
              </w:rPr>
              <w:t xml:space="preserve">Recommendation: Chem. Rev. 2025 (command of the field, first author), Adv. Electron. Mater. 2026 (device innovation), Thin Solid Films 2024 (PLD methodology)</w:t>
            </w:r>
          </w:p>
        </w:tc>
      </w:tr>
      <w:tr>
        <w:tc>
          <w:tcPr>
            <w:tcW w:type="dxa" w:w="3300"/>
            <w:tcMar>
              <w:top w:type="dxa" w:w="50"/>
              <w:left w:type="dxa" w:w="90"/>
              <w:bottom w:type="dxa" w:w="50"/>
              <w:right w:type="dxa" w:w="90"/>
            </w:tcMar>
          </w:tcPr>
          <w:p>
            <w:r>
              <w:rPr>
                <w:b w:val="false"/>
                <w:bCs w:val="false"/>
                <w:sz w:val="19"/>
                <w:szCs w:val="19"/>
              </w:rPr>
              <w:t xml:space="preserve">Doctoral certificate / proof</w:t>
            </w:r>
          </w:p>
        </w:tc>
        <w:tc>
          <w:tcPr>
            <w:tcW w:type="dxa" w:w="5772"/>
            <w:tcMar>
              <w:top w:type="dxa" w:w="50"/>
              <w:left w:type="dxa" w:w="90"/>
              <w:bottom w:type="dxa" w:w="50"/>
              <w:right w:type="dxa" w:w="90"/>
            </w:tcMar>
          </w:tcPr>
          <w:p>
            <w:r>
              <w:rPr>
                <w:b w:val="false"/>
                <w:bCs w:val="false"/>
                <w:sz w:val="19"/>
                <w:szCs w:val="19"/>
              </w:rPr>
              <w:t xml:space="preserve">If applying before completion: declaration that the dissertation will be submitted within 6 months</w:t>
            </w:r>
          </w:p>
        </w:tc>
      </w:tr>
      <w:tr>
        <w:tc>
          <w:tcPr>
            <w:tcW w:type="dxa" w:w="3300"/>
            <w:tcMar>
              <w:top w:type="dxa" w:w="50"/>
              <w:left w:type="dxa" w:w="90"/>
              <w:bottom w:type="dxa" w:w="50"/>
              <w:right w:type="dxa" w:w="90"/>
            </w:tcMar>
          </w:tcPr>
          <w:p>
            <w:r>
              <w:rPr>
                <w:b w:val="false"/>
                <w:bCs w:val="false"/>
                <w:sz w:val="19"/>
                <w:szCs w:val="19"/>
              </w:rPr>
              <w:t xml:space="preserve">Host’s statement + confirmation of research place</w:t>
            </w:r>
          </w:p>
        </w:tc>
        <w:tc>
          <w:tcPr>
            <w:tcW w:type="dxa" w:w="5772"/>
            <w:tcMar>
              <w:top w:type="dxa" w:w="50"/>
              <w:left w:type="dxa" w:w="90"/>
              <w:bottom w:type="dxa" w:w="50"/>
              <w:right w:type="dxa" w:w="90"/>
            </w:tcMar>
          </w:tcPr>
          <w:p>
            <w:r>
              <w:rPr>
                <w:b w:val="false"/>
                <w:bCs w:val="false"/>
                <w:sz w:val="19"/>
                <w:szCs w:val="19"/>
              </w:rPr>
              <w:t xml:space="preserve">Prof. Chueh uploads directly to the AvH portal; raise the host contribution (approx. 1/3 of the fellowship; USA is a contributing country) early</w:t>
            </w:r>
          </w:p>
        </w:tc>
      </w:tr>
      <w:tr>
        <w:tc>
          <w:tcPr>
            <w:tcW w:type="dxa" w:w="3300"/>
            <w:tcMar>
              <w:top w:type="dxa" w:w="50"/>
              <w:left w:type="dxa" w:w="90"/>
              <w:bottom w:type="dxa" w:w="50"/>
              <w:right w:type="dxa" w:w="90"/>
            </w:tcMar>
          </w:tcPr>
          <w:p>
            <w:r>
              <w:rPr>
                <w:b w:val="false"/>
                <w:bCs w:val="false"/>
                <w:sz w:val="19"/>
                <w:szCs w:val="19"/>
              </w:rPr>
              <w:t xml:space="preserve">Two expert reviews</w:t>
            </w:r>
          </w:p>
        </w:tc>
        <w:tc>
          <w:tcPr>
            <w:tcW w:type="dxa" w:w="5772"/>
            <w:tcMar>
              <w:top w:type="dxa" w:w="50"/>
              <w:left w:type="dxa" w:w="90"/>
              <w:bottom w:type="dxa" w:w="50"/>
              <w:right w:type="dxa" w:w="90"/>
            </w:tcMar>
          </w:tcPr>
          <w:p>
            <w:r>
              <w:rPr>
                <w:b w:val="false"/>
                <w:bCs w:val="false"/>
                <w:sz w:val="19"/>
                <w:szCs w:val="19"/>
              </w:rPr>
              <w:t xml:space="preserve">Recommendation: Prof. R. Dittmann (doctoral supervisor) + one external, preferably international referee</w:t>
            </w:r>
          </w:p>
        </w:tc>
      </w:tr>
    </w:tbl>
    <w:p>
      <w:pPr>
        <w:spacing w:after="120"/>
      </w:pPr>
      <w:r>
        <w:rPr>
          <w:i/>
          <w:iCs/>
          <w:sz w:val="18"/>
          <w:szCs w:val="18"/>
        </w:rPr>
        <w:t xml:space="preserve">Fellowship benefits (as of 2026): base fellowship € 2,187.50/month (minus host contribution) + foreign allowance USA + research cost allowance € 312.50/month + travel lump sums; afterwards optionally the Feodor Lynen Return Fellowship (up to 12 months, € 3,600/month). Applications accepted at any time; selection meetings February/June/October; success rate approx. 40 %.</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2026-08-09T17:57:15.386Z</dcterms:created>
  <dcterms:modified xsi:type="dcterms:W3CDTF">2026-08-09T17:57:15.388Z</dcterms:modified>
</cp:coreProperties>
</file>

<file path=docProps/custom.xml><?xml version="1.0" encoding="utf-8"?>
<Properties xmlns="http://schemas.openxmlformats.org/officeDocument/2006/custom-properties" xmlns:vt="http://schemas.openxmlformats.org/officeDocument/2006/docPropsVTypes"/>
</file>