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w:t>
      </w:r>
      <w:r>
        <w:rPr>
          <w:rFonts w:ascii="Arial" w:hAnsi="Arial" w:cs="Arial"/>
          <w:sz w:val="21"/>
          <w:szCs w:val="21"/>
        </w:rPr>
        <w:t xml:space="preserve">: an epitaxial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chain-oxygen series switching between noble Au electrodes – the one oxide platform where noble-contact switching was already established and replicated – with a site-resolved XAS covalency scale correlated against the switching metrics of the same cells</w:t>
      </w:r>
      <w:r>
        <w:rPr>
          <w:rFonts w:ascii="Arial" w:hAnsi="Arial" w:cs="Arial"/>
          <w:sz w:val="21"/>
          <w:szCs w:val="21"/>
        </w:rPr>
        <w:t xml:space="preserve">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w:t>
      </w:r>
      <w:r>
        <w:rPr>
          <w:rFonts w:ascii="Arial" w:hAnsi="Arial" w:cs="Arial"/>
          <w:sz w:val="21"/>
          <w:szCs w:val="21"/>
        </w:rPr>
        <w:t xml:space="preserve">building on the noble-electrode descriptor methodology (inert-contact devices + XAS covalency scale) that I de-risked on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during my Feodor Lynen fellowship</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w:t>
      </w:r>
      <w:r>
        <w:rPr>
          <w:rFonts w:ascii="Arial" w:hAnsi="Arial" w:cs="Arial"/>
          <w:sz w:val="21"/>
          <w:szCs w:val="21"/>
        </w:rPr>
        <w:t xml:space="preserve">calibrated against literature DFT [11–13] and anchored in cluster-model/configuration-interaction charge-transfer analysis in the Zaanen–Sawatzky–Allen framework and the tradition of Fujimori, Bocquet, Saitoh and Sarma [39–43] – hybridisation and covalency are kept strictly distinct, and pre-edge intensities are used as a relative, series-internal measure only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t>
      </w:r>
      <w:r>
        <w:rPr>
          <w:rFonts w:ascii="Arial" w:hAnsi="Arial" w:cs="Arial"/>
          <w:sz w:val="21"/>
          <w:szCs w:val="21"/>
        </w:rPr>
        <w:t xml:space="preserve">within the fellowship project I have grown a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chain-oxygen series, established the site-resolved O-K/Cu-L covalency scale at SSRL, and correlated it with switching in Au-contacted devices</w:t>
      </w:r>
      <w:r>
        <w:rPr>
          <w:rFonts w:ascii="Arial" w:hAnsi="Arial" w:cs="Arial"/>
          <w:sz w:val="21"/>
          <w:szCs w:val="21"/>
        </w:rPr>
        <w:t xml:space="preserve">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pPr>
        <w:spacing w:after="60"/>
        <w:ind w:hanging="480"/>
        <w:divId w:val="295451038"/>
        <w:rPr>
          <w:rFonts w:ascii="Arial" w:hAnsi="Arial" w:cs="Arial"/>
          <w:sz w:val="18"/>
          <w:szCs w:val="18"/>
        </w:rPr>
      </w:pPr>
      <w:r>
        <w:rPr>
          <w:rFonts w:ascii="Arial" w:hAnsi="Arial" w:cs="Arial"/>
          <w:sz w:val="18"/>
          <w:szCs w:val="18"/>
        </w:rPr>
        <w:t xml:space="preserve">[39] J. Zaanen, G. A. Sawatzky, J. W. Allen, Physical Review Letters 55, 418–421 (1985).</w:t>
      </w:r>
    </w:p>
    <w:p>
      <w:pPr>
        <w:spacing w:after="60"/>
        <w:ind w:hanging="480"/>
        <w:divId w:val="295451038"/>
        <w:rPr>
          <w:rFonts w:ascii="Arial" w:hAnsi="Arial" w:cs="Arial"/>
          <w:sz w:val="18"/>
          <w:szCs w:val="18"/>
        </w:rPr>
      </w:pPr>
      <w:r>
        <w:rPr>
          <w:rFonts w:ascii="Arial" w:hAnsi="Arial" w:cs="Arial"/>
          <w:sz w:val="18"/>
          <w:szCs w:val="18"/>
        </w:rPr>
        <w:t xml:space="preserve">[40] A. Fujimori, F. Minami, Physical Review B 30, 957–971 (1984).</w:t>
      </w:r>
    </w:p>
    <w:p>
      <w:pPr>
        <w:spacing w:after="60"/>
        <w:ind w:hanging="480"/>
        <w:divId w:val="295451038"/>
        <w:rPr>
          <w:rFonts w:ascii="Arial" w:hAnsi="Arial" w:cs="Arial"/>
          <w:sz w:val="18"/>
          <w:szCs w:val="18"/>
        </w:rPr>
      </w:pPr>
      <w:r>
        <w:rPr>
          <w:rFonts w:ascii="Arial" w:hAnsi="Arial" w:cs="Arial"/>
          <w:sz w:val="18"/>
          <w:szCs w:val="18"/>
        </w:rPr>
        <w:t xml:space="preserve">[41] A. E. Bocquet, T. Mizokawa, T. Saitoh, H. Namatame, A. Fujimori, Physical Review B 46, 3771–3784 (1992).</w:t>
      </w:r>
    </w:p>
    <w:p>
      <w:pPr>
        <w:spacing w:after="60"/>
        <w:ind w:hanging="480"/>
        <w:divId w:val="295451038"/>
        <w:rPr>
          <w:rFonts w:ascii="Arial" w:hAnsi="Arial" w:cs="Arial"/>
          <w:sz w:val="18"/>
          <w:szCs w:val="18"/>
        </w:rPr>
      </w:pPr>
      <w:r>
        <w:rPr>
          <w:rFonts w:ascii="Arial" w:hAnsi="Arial" w:cs="Arial"/>
          <w:sz w:val="18"/>
          <w:szCs w:val="18"/>
        </w:rPr>
        <w:t xml:space="preserve">[42] T. Saitoh, A. E. Bocquet, T. Mizokawa, A. Fujimori, Physical Review B 52, 7934–7938 (1995).</w:t>
      </w:r>
    </w:p>
    <w:p>
      <w:pPr>
        <w:spacing w:after="60"/>
        <w:ind w:hanging="480"/>
        <w:divId w:val="295451038"/>
        <w:rPr>
          <w:rFonts w:ascii="Arial" w:hAnsi="Arial" w:cs="Arial"/>
          <w:sz w:val="18"/>
          <w:szCs w:val="18"/>
        </w:rPr>
      </w:pPr>
      <w:r>
        <w:rPr>
          <w:rFonts w:ascii="Arial" w:hAnsi="Arial" w:cs="Arial"/>
          <w:sz w:val="18"/>
          <w:szCs w:val="18"/>
        </w:rPr>
        <w:t xml:space="preserve">[43] S. Nimkar, D. D. Sarma, H. R. Krishnamurthy, S. Ramasesha, Physical Review B 48, 7355–7363 (1993).</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 xml:space="preserve">Feodor Lynen Research Fellow (Alexander von Humboldt Foundation), group of Prof. W. C. Chueh, Stanford University / SLAC – </w:t>
            </w:r>
            <w:r>
              <w:rPr>
                <w:rFonts w:ascii="Arial" w:eastAsia="Times New Roman" w:hAnsi="Arial" w:cs="Arial"/>
                <w:sz w:val="19"/>
                <w:szCs w:val="19"/>
              </w:rPr>
              <w:t xml:space="preserve">covalency descriptors beyond the perovskites: epitaxial </w:t>
            </w:r>
            <w:r>
              <w:rPr>
                <w:rFonts w:ascii="Arial" w:eastAsia="Times New Roman" w:hAnsi="Arial" w:cs="Arial"/>
                <w:sz w:val="19"/>
                <w:szCs w:val="19"/>
              </w:rPr>
              <w:t xml:space="preserve">YBa</w:t>
            </w:r>
            <w:r>
              <w:rPr>
                <w:rFonts w:ascii="Arial" w:eastAsia="Times New Roman" w:hAnsi="Arial" w:cs="Arial"/>
                <w:sz w:val="19"/>
                <w:szCs w:val="19"/>
                <w:vertAlign w:val="subscript"/>
              </w:rPr>
              <w:t xml:space="preserve">2</w:t>
            </w:r>
            <w:r>
              <w:rPr>
                <w:rFonts w:ascii="Arial" w:eastAsia="Times New Roman" w:hAnsi="Arial" w:cs="Arial"/>
                <w:sz w:val="19"/>
                <w:szCs w:val="19"/>
              </w:rPr>
              <w:t xml:space="preserve">Cu</w:t>
            </w:r>
            <w:r>
              <w:rPr>
                <w:rFonts w:ascii="Arial" w:eastAsia="Times New Roman" w:hAnsi="Arial" w:cs="Arial"/>
                <w:sz w:val="19"/>
                <w:szCs w:val="19"/>
                <w:vertAlign w:val="subscript"/>
              </w:rPr>
              <w:t xml:space="preserve">3</w:t>
            </w:r>
            <w:r>
              <w:rPr>
                <w:rFonts w:ascii="Arial" w:eastAsia="Times New Roman" w:hAnsi="Arial" w:cs="Arial"/>
                <w:sz w:val="19"/>
                <w:szCs w:val="19"/>
              </w:rPr>
              <w:t xml:space="preserve">O</w:t>
            </w:r>
            <w:r>
              <w:rPr>
                <w:rFonts w:ascii="Arial" w:eastAsia="Times New Roman" w:hAnsi="Arial" w:cs="Arial"/>
                <w:sz w:val="19"/>
                <w:szCs w:val="19"/>
                <w:vertAlign w:val="subscript"/>
              </w:rPr>
              <w:t xml:space="preserve">7-δ</w:t>
            </w:r>
            <w:r>
              <w:rPr>
                <w:rFonts w:ascii="Arial" w:eastAsia="Times New Roman" w:hAnsi="Arial" w:cs="Arial"/>
                <w:sz w:val="19"/>
                <w:szCs w:val="19"/>
              </w:rPr>
              <w:t xml:space="preserve"> chain-oxygen series with Au-contact devices, XAS</w:t>
            </w:r>
            <w:r>
              <w:rPr>
                <w:rFonts w:ascii="Arial" w:eastAsia="Times New Roman" w:hAnsi="Arial" w:cs="Arial"/>
                <w:sz w:val="19"/>
                <w:szCs w:val="19"/>
              </w:rPr>
              <w:t xml:space="preserve">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 xml:space="preserve">P1. M. Buczek, [co-authors], W. C. Chueh, [working title: </w:t>
      </w:r>
      <w:r>
        <w:rPr>
          <w:rFonts w:ascii="Arial" w:hAnsi="Arial" w:cs="Arial"/>
          <w:sz w:val="18"/>
          <w:szCs w:val="18"/>
        </w:rPr>
        <w:t xml:space="preserve">A site-resolved covalency scale for noble-electrode YBa2Cu3O7-δ memristive devices</w:t>
      </w:r>
      <w:r>
        <w:rPr>
          <w:rFonts w:ascii="Arial" w:hAnsi="Arial" w:cs="Arial"/>
          <w:sz w:val="18"/>
          <w:szCs w:val="18"/>
        </w:rPr>
        <w:t xml:space="preserve">],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