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DAAD PRIME – Postdoctoral Researchers International Mobility Experience</w:t>
      </w:r>
    </w:p>
    <w:p>
      <w:pPr>
        <w:pStyle w:val="Title"/>
      </w:pPr>
      <w:r>
        <w:t xml:space="preserve">Covalency as an Experimental Descriptor of Memristive Switching: the Ce1-xGdxO2-δ Fluorite Series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shd w:fill="EEF1F5" w:val="clear"/>
            <w:tcMar>
              <w:top w:type="dxa" w:w="50"/>
              <w:left w:type="dxa" w:w="90"/>
              <w:bottom w:type="dxa" w:w="50"/>
              <w:right w:type="dxa" w:w="90"/>
            </w:tcMar>
          </w:tcPr>
          <w:p>
            <w:r>
              <w:rPr>
                <w:b/>
                <w:bCs/>
                <w:sz w:val="19"/>
                <w:szCs w:val="19"/>
              </w:rPr>
              <w:t xml:space="preserve">Applicant</w:t>
            </w:r>
          </w:p>
        </w:tc>
        <w:tc>
          <w:tcPr>
            <w:tcW w:type="dxa" w:w="6672"/>
            <w:tcMar>
              <w:top w:type="dxa" w:w="50"/>
              <w:left w:type="dxa" w:w="90"/>
              <w:bottom w:type="dxa" w:w="50"/>
              <w:right w:type="dxa" w:w="90"/>
            </w:tcMar>
          </w:tcPr>
          <w:p>
            <w:r>
              <w:rPr>
                <w:b w:val="false"/>
                <w:bCs w:val="false"/>
                <w:sz w:val="19"/>
                <w:szCs w:val="19"/>
              </w:rPr>
              <w:t xml:space="preserve">Dr. Max Buczek, Postdoctoral Researcher, Peter Grünberg Institute (PGI-7), Forschungszentrum Jülich, Germany</w:t>
            </w:r>
          </w:p>
        </w:tc>
      </w:tr>
      <w:tr>
        <w:tc>
          <w:tcPr>
            <w:tcW w:type="dxa" w:w="2400"/>
            <w:shd w:fill="EEF1F5" w:val="clear"/>
            <w:tcMar>
              <w:top w:type="dxa" w:w="50"/>
              <w:left w:type="dxa" w:w="90"/>
              <w:bottom w:type="dxa" w:w="50"/>
              <w:right w:type="dxa" w:w="90"/>
            </w:tcMar>
          </w:tcPr>
          <w:p>
            <w:r>
              <w:rPr>
                <w:b/>
                <w:bCs/>
                <w:sz w:val="19"/>
                <w:szCs w:val="19"/>
              </w:rPr>
              <w:t xml:space="preserve">Host abroad</w:t>
            </w:r>
          </w:p>
        </w:tc>
        <w:tc>
          <w:tcPr>
            <w:tcW w:type="dxa" w:w="6672"/>
            <w:tcMar>
              <w:top w:type="dxa" w:w="50"/>
              <w:left w:type="dxa" w:w="90"/>
              <w:bottom w:type="dxa" w:w="50"/>
              <w:right w:type="dxa" w:w="90"/>
            </w:tcMar>
          </w:tcPr>
          <w:p>
            <w:r>
              <w:rPr>
                <w:b w:val="false"/>
                <w:bCs w:val="false"/>
                <w:sz w:val="19"/>
                <w:szCs w:val="19"/>
              </w:rPr>
              <w:t xml:space="preserve">Prof. Dr. William C. Chueh, Department of Materials Science and Engineering, Stanford University, USA (Stanford Synchrotron Radiation Lightsource, SSRL)</w:t>
            </w:r>
          </w:p>
        </w:tc>
      </w:tr>
      <w:tr>
        <w:tc>
          <w:tcPr>
            <w:tcW w:type="dxa" w:w="2400"/>
            <w:shd w:fill="EEF1F5" w:val="clear"/>
            <w:tcMar>
              <w:top w:type="dxa" w:w="50"/>
              <w:left w:type="dxa" w:w="90"/>
              <w:bottom w:type="dxa" w:w="50"/>
              <w:right w:type="dxa" w:w="90"/>
            </w:tcMar>
          </w:tcPr>
          <w:p>
            <w:r>
              <w:rPr>
                <w:b/>
                <w:bCs/>
                <w:sz w:val="19"/>
                <w:szCs w:val="19"/>
              </w:rPr>
              <w:t xml:space="preserve">German / European host</w:t>
            </w:r>
          </w:p>
        </w:tc>
        <w:tc>
          <w:tcPr>
            <w:tcW w:type="dxa" w:w="6672"/>
            <w:tcMar>
              <w:top w:type="dxa" w:w="50"/>
              <w:left w:type="dxa" w:w="90"/>
              <w:bottom w:type="dxa" w:w="50"/>
              <w:right w:type="dxa" w:w="90"/>
            </w:tcMar>
          </w:tcPr>
          <w:p>
            <w:r>
              <w:rPr>
                <w:b w:val="false"/>
                <w:bCs w:val="false"/>
                <w:sz w:val="19"/>
                <w:szCs w:val="19"/>
              </w:rPr>
              <w:t xml:space="preserve">[RWTH Aachen University or Forschungszentrum Jülich – to be fixed; hosts the return/reintegration phase where applicable]</w:t>
            </w:r>
          </w:p>
        </w:tc>
      </w:tr>
      <w:tr>
        <w:tc>
          <w:tcPr>
            <w:tcW w:type="dxa" w:w="2400"/>
            <w:shd w:fill="EEF1F5" w:val="clear"/>
            <w:tcMar>
              <w:top w:type="dxa" w:w="50"/>
              <w:left w:type="dxa" w:w="90"/>
              <w:bottom w:type="dxa" w:w="50"/>
              <w:right w:type="dxa" w:w="90"/>
            </w:tcMar>
          </w:tcPr>
          <w:p>
            <w:r>
              <w:rPr>
                <w:b/>
                <w:bCs/>
                <w:sz w:val="19"/>
                <w:szCs w:val="19"/>
              </w:rPr>
              <w:t xml:space="preserve">Duration</w:t>
            </w:r>
          </w:p>
        </w:tc>
        <w:tc>
          <w:tcPr>
            <w:tcW w:type="dxa" w:w="6672"/>
            <w:tcMar>
              <w:top w:type="dxa" w:w="50"/>
              <w:left w:type="dxa" w:w="90"/>
              <w:bottom w:type="dxa" w:w="50"/>
              <w:right w:type="dxa" w:w="90"/>
            </w:tcMar>
          </w:tcPr>
          <w:p>
            <w:r>
              <w:rPr>
                <w:b w:val="false"/>
                <w:bCs w:val="false"/>
                <w:sz w:val="19"/>
                <w:szCs w:val="19"/>
              </w:rPr>
              <w:t xml:space="preserve">18 months (12 abroad + 6 reintegration)</w:t>
            </w:r>
          </w:p>
        </w:tc>
      </w:tr>
      <w:tr>
        <w:tc>
          <w:tcPr>
            <w:tcW w:type="dxa" w:w="2400"/>
            <w:shd w:fill="EEF1F5" w:val="clear"/>
            <w:tcMar>
              <w:top w:type="dxa" w:w="50"/>
              <w:left w:type="dxa" w:w="90"/>
              <w:bottom w:type="dxa" w:w="50"/>
              <w:right w:type="dxa" w:w="90"/>
            </w:tcMar>
          </w:tcPr>
          <w:p>
            <w:r>
              <w:rPr>
                <w:b/>
                <w:bCs/>
                <w:sz w:val="19"/>
                <w:szCs w:val="19"/>
              </w:rPr>
              <w:t xml:space="preserve">Format</w:t>
            </w:r>
          </w:p>
        </w:tc>
        <w:tc>
          <w:tcPr>
            <w:tcW w:type="dxa" w:w="6672"/>
            <w:tcMar>
              <w:top w:type="dxa" w:w="50"/>
              <w:left w:type="dxa" w:w="90"/>
              <w:bottom w:type="dxa" w:w="50"/>
              <w:right w:type="dxa" w:w="90"/>
            </w:tcMar>
          </w:tcPr>
          <w:p>
            <w:r>
              <w:rPr>
                <w:b w:val="false"/>
                <w:bCs w:val="false"/>
                <w:sz w:val="19"/>
                <w:szCs w:val="19"/>
              </w:rPr>
              <w:t xml:space="preserve">18-month employment contract (TV-L E13) at a German university: 12 months abroad (Stanford University / SLAC) + 6-month reintegration phase in Germany [RWTH Aachen or FZ Jülich – commitment of the German host required]</w:t>
            </w:r>
          </w:p>
        </w:tc>
      </w:tr>
      <w:tr>
        <w:tc>
          <w:tcPr>
            <w:tcW w:type="dxa" w:w="2400"/>
            <w:shd w:fill="EEF1F5" w:val="clear"/>
            <w:tcMar>
              <w:top w:type="dxa" w:w="50"/>
              <w:left w:type="dxa" w:w="90"/>
              <w:bottom w:type="dxa" w:w="50"/>
              <w:right w:type="dxa" w:w="90"/>
            </w:tcMar>
          </w:tcPr>
          <w:p>
            <w:r>
              <w:rPr>
                <w:b/>
                <w:bCs/>
                <w:sz w:val="19"/>
                <w:szCs w:val="19"/>
              </w:rPr>
              <w:t xml:space="preserve">Funding body</w:t>
            </w:r>
          </w:p>
        </w:tc>
        <w:tc>
          <w:tcPr>
            <w:tcW w:type="dxa" w:w="6672"/>
            <w:tcMar>
              <w:top w:type="dxa" w:w="50"/>
              <w:left w:type="dxa" w:w="90"/>
              <w:bottom w:type="dxa" w:w="50"/>
              <w:right w:type="dxa" w:w="90"/>
            </w:tcMar>
          </w:tcPr>
          <w:p>
            <w:r>
              <w:rPr>
                <w:b w:val="false"/>
                <w:bCs w:val="false"/>
                <w:sz w:val="19"/>
                <w:szCs w:val="19"/>
              </w:rPr>
              <w:t xml:space="preserve">DAAD [verify current call, co-funding and conditions before submission]</w:t>
            </w:r>
          </w:p>
        </w:tc>
      </w:tr>
      <w:tr>
        <w:tc>
          <w:tcPr>
            <w:tcW w:type="dxa" w:w="2400"/>
            <w:shd w:fill="EEF1F5" w:val="clear"/>
            <w:tcMar>
              <w:top w:type="dxa" w:w="50"/>
              <w:left w:type="dxa" w:w="90"/>
              <w:bottom w:type="dxa" w:w="50"/>
              <w:right w:type="dxa" w:w="90"/>
            </w:tcMar>
          </w:tcPr>
          <w:p>
            <w:r>
              <w:rPr>
                <w:b/>
                <w:bCs/>
                <w:sz w:val="19"/>
                <w:szCs w:val="19"/>
              </w:rPr>
              <w:t xml:space="preserve">Eligibility</w:t>
            </w:r>
          </w:p>
        </w:tc>
        <w:tc>
          <w:tcPr>
            <w:tcW w:type="dxa" w:w="6672"/>
            <w:tcMar>
              <w:top w:type="dxa" w:w="50"/>
              <w:left w:type="dxa" w:w="90"/>
              <w:bottom w:type="dxa" w:w="50"/>
              <w:right w:type="dxa" w:w="90"/>
            </w:tcMar>
          </w:tcPr>
          <w:p>
            <w:r>
              <w:rPr>
                <w:b w:val="false"/>
                <w:bCs w:val="false"/>
                <w:sz w:val="19"/>
                <w:szCs w:val="19"/>
              </w:rPr>
              <w:t xml:space="preserve">Doctorate completed before funding start; no nationality restriction</w:t>
            </w:r>
          </w:p>
        </w:tc>
      </w:tr>
      <w:tr>
        <w:tc>
          <w:tcPr>
            <w:tcW w:type="dxa" w:w="2400"/>
            <w:shd w:fill="EEF1F5" w:val="clear"/>
            <w:tcMar>
              <w:top w:type="dxa" w:w="50"/>
              <w:left w:type="dxa" w:w="90"/>
              <w:bottom w:type="dxa" w:w="50"/>
              <w:right w:type="dxa" w:w="90"/>
            </w:tcMar>
          </w:tcPr>
          <w:p>
            <w:r>
              <w:rPr>
                <w:b/>
                <w:bCs/>
                <w:sz w:val="19"/>
                <w:szCs w:val="19"/>
              </w:rPr>
              <w:t xml:space="preserve">Application</w:t>
            </w:r>
          </w:p>
        </w:tc>
        <w:tc>
          <w:tcPr>
            <w:tcW w:type="dxa" w:w="6672"/>
            <w:tcMar>
              <w:top w:type="dxa" w:w="50"/>
              <w:left w:type="dxa" w:w="90"/>
              <w:bottom w:type="dxa" w:w="50"/>
              <w:right w:type="dxa" w:w="90"/>
            </w:tcMar>
          </w:tcPr>
          <w:p>
            <w:r>
              <w:rPr>
                <w:b w:val="false"/>
                <w:bCs w:val="false"/>
                <w:sz w:val="19"/>
                <w:szCs w:val="19"/>
              </w:rPr>
              <w:t xml:space="preserve">Annual call, submitted directly to the DAAD [insert current deadline]</w:t>
            </w:r>
          </w:p>
        </w:tc>
      </w:tr>
      <w:tr>
        <w:tc>
          <w:tcPr>
            <w:tcW w:type="dxa" w:w="2400"/>
            <w:shd w:fill="EEF1F5" w:val="clear"/>
            <w:tcMar>
              <w:top w:type="dxa" w:w="50"/>
              <w:left w:type="dxa" w:w="90"/>
              <w:bottom w:type="dxa" w:w="50"/>
              <w:right w:type="dxa" w:w="90"/>
            </w:tcMar>
          </w:tcPr>
          <w:p>
            <w:r>
              <w:rPr>
                <w:b/>
                <w:bCs/>
                <w:sz w:val="19"/>
                <w:szCs w:val="19"/>
              </w:rPr>
              <w:t xml:space="preserve">Special feature</w:t>
            </w:r>
          </w:p>
        </w:tc>
        <w:tc>
          <w:tcPr>
            <w:tcW w:type="dxa" w:w="6672"/>
            <w:tcMar>
              <w:top w:type="dxa" w:w="50"/>
              <w:left w:type="dxa" w:w="90"/>
              <w:bottom w:type="dxa" w:w="50"/>
              <w:right w:type="dxa" w:w="90"/>
            </w:tcMar>
          </w:tcPr>
          <w:p>
            <w:r>
              <w:rPr>
                <w:b w:val="false"/>
                <w:bCs w:val="false"/>
                <w:sz w:val="19"/>
                <w:szCs w:val="19"/>
              </w:rPr>
              <w:t xml:space="preserve">Position instead of stipend – full social security; the reintegration phase is part of the programme</w:t>
            </w:r>
          </w:p>
        </w:tc>
      </w:tr>
    </w:tbl>
    <w:p>
      <w:pPr>
        <w:spacing w:after="120"/>
      </w:pPr>
      <w:r>
        <w:rPr>
          <w:i/>
          <w:iCs/>
          <w:sz w:val="18"/>
          <w:szCs w:val="18"/>
        </w:rPr>
        <w:t xml:space="preserve">Standalone draft proposal for this funding line (status 09.08.2026). Only one of the parallel programme drafts of this folder will be pursued for the research stay – check each funder’s double-funding rules before submission. Materials selection follows the portfolio’s three-criterion evidence logic; all cited references are individually verified against publisher records (see Literaturpruefung_2026-08-09 and Materialscreening_2026-08-09).</w:t>
      </w:r>
    </w:p>
    <w:p>
      <w:pPr>
        <w:pStyle w:val="Heading1"/>
        <w:spacing w:after="120" w:before="240"/>
      </w:pPr>
      <w:r>
        <w:t xml:space="preserve">1  Research question and scientific significance</w:t>
      </w:r>
    </w:p>
    <w:p>
      <w:pPr>
        <w:spacing w:after="120"/>
      </w:pPr>
      <w:r>
        <w:t xml:space="preserve">Memristive devices based on the valence change mechanism switch through field-driven oxygen-vacancy redistribution [1–3], with the vacancy formation energy entering all quantitative models exponentially [3, 4]. Energy research has established the metal–oxygen bond character as the controlling descriptor of this energy [5–8]. My project tests this descriptor logic where it has never been tested: outside the perovskite class, in the fluorite oxide Ce1-xGdxO2-δ (GDC) – the system with the most mature noble-electrode device platform of any candidate screened.</w:t>
      </w:r>
    </w:p>
    <w:p>
      <w:pPr>
        <w:spacing w:after="120"/>
      </w:pPr>
      <w:r>
        <w:t xml:space="preserve">GDC is unique in that criterion 2 – switching at a noble interface – is fulfilled not just for a single composition but for a composition series in the device: Schmitt, Rupp and co-workers demonstrated Pt/Ce1-xGdxO2-δ/Pt crossbars across x = 0…0.2 and showed that the deliberately designed oxygen-vacancy configuration controls the memristive response [9], with the polaronic transport mechanism established separately [11] and a Pt/Sm-doped-ceria/Nb:SrTiO3 variant recently added [12]. The defect-chemical foundation (criterion 1b) is equally strong: vacancy formation and dopant-vacancy association energies as a function of the dopant are quantified by DFT [10], and the experimental defect chemistry of doped ceria – including Pr-doped ceria with its complete defect-equilibrium diagrams and operando spectroscopy of the Ce/Pr valence system [13, 14] – is textbook knowledge of the host group’s field. The open flank is criterion 1a, and precisely this is the project: the covalency axis of ceria runs through the Ce-4f/O-2p hybridisation and the Ce3+/Ce4+ redox couple, quantifiable by Ce-M4,5/L3 XAS and O-K spectroscopy [14, 16], but no systematic XAS descriptor series across the GDC composition range exists. My central hypothesis: the switching figures of merit of the published Pt/GDC/Pt platform scale with an XAS-measured reducibility/covalency descriptor of the Ce–O bond – and the comparison with the perovskite series of my group programme decides whether the descriptor map generalises across structure classes, which is the decisive question for its predictive claim.</w:t>
      </w:r>
    </w:p>
    <w:p>
      <w:pPr>
        <w:spacing w:after="120"/>
      </w:pPr>
      <w:r>
        <w:t xml:space="preserve">Design constraints are addressed openly: the “covalency” axis of a fluorite is of a different nature than the O-2p ligand-hole axis of the perovskites (4f localisation, polaronic transport [11]), grain boundaries can dominate transport in thin films, and Gd tunes primarily the vacancy concentration and association rather than the bond covalency itself [10]. These differences are not a weakness but the point: they make GDC the sharpest available test of which descriptor formulation – O-2p band centre, reducibility, vacancy formation enthalpy – carries across oxide classes.</w:t>
      </w:r>
    </w:p>
    <w:p>
      <w:pPr>
        <w:spacing w:after="120"/>
      </w:pPr>
      <w:r>
        <w:t xml:space="preserve">Conceptual footing (sharpened after expert feedback, 08/2026): throughout this project, “covalency” is used in the quantitative sense of the charge-transfer/cluster-model framework – charge-transfer energy Δ, on-site Coulomb energy U and transfer integrals, in the Zaanen–Sawatzky–Allen classification [21] and as extracted compound by compound by the configuration-interaction analyses of Fujimori, Bocquet, Saitoh, Sarma and co-workers [22–25]. O-K pre-edge intensities serve as a relative, series-internal hybridisation measure only; their limits as an absolute covalency scale (core-hole effects, ligand-hole distribution, band effects) are treated explicitly [26], and the conflation of hybridisation with covalency that is common in the catalysis-descriptor literature is deliberately avoided – the descriptor scale of this project is calibrated against cluster-model analysis, not against pre-edge intensity alone.</w:t>
      </w:r>
    </w:p>
    <w:p>
      <w:pPr>
        <w:pStyle w:val="Heading1"/>
        <w:spacing w:after="120" w:before="240"/>
      </w:pPr>
      <w:r>
        <w:t xml:space="preserve">2  Programme fit and strategy</w:t>
      </w:r>
    </w:p>
    <w:p>
      <w:pPr>
        <w:spacing w:after="120"/>
      </w:pPr>
      <w:r>
        <w:t xml:space="preserve">PRIME funds the project as an 18-month employment position: a focused 12-month Stanford campaign delivers the descriptor scale and the switching statistics, and the built-in 6-month reintegration phase in Jülich/Aachen is used for correlation analysis, transfer of the XAS protocols to European beamlines and submission of the junior-group proposal (Emmy Noether/ERC) – the return into the German system is part of the programme itself. Fallback within the DAAD portfolio: the classic postdoctoral research grants (stipend-based, up to 12 months) [verify current programme lines].</w:t>
      </w:r>
    </w:p>
    <w:p>
      <w:pPr>
        <w:pStyle w:val="Heading1"/>
        <w:spacing w:after="120" w:before="240"/>
      </w:pPr>
      <w:r>
        <w:t xml:space="preserve">3  Why the Chueh group at Stanford is the ideal place</w:t>
      </w:r>
    </w:p>
    <w:p>
      <w:pPr>
        <w:spacing w:after="120"/>
      </w:pPr>
      <w:r>
        <w:t xml:space="preserve">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oxide thin films [17–19]. The group’s seminal work on the redox activity of oxygen anions in oxygen-deficient perovskites [18] is a direct methodological blueprint for my project; the Nature Materials study on atomically defined LaNiO3 surfaces [19] – with Christoph Baeumer from the Jülich school as first author – furthermore demonstrates that the group routinely masters epitaxial oxide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The constellation is thus a genuine two-way transfer of knowledge. For complementary epitaxial growth questions, the environment of the Stanford Institute for Materials and Energy Sciences (SIMES) at SLAC is available. [Host choice under review after first-hand feedback (08/2026): the Chueh group’s own perovskite/oxide-redox activities have largely moved on; the relevant lines are continued in alumni groups – C. Baeumer (University of Twente), Q. Lu (Westlake University), J. T. Mefford, D. Chen. If XAS quantification is the methodological core, a host with direct synchrotron access (e.g. PSI/SLS, MAX IV, Diamond, or a beamline-affiliated group) is a serious alternative. Re-validate and, if necessary, rewrite this section before submission.]</w:t>
      </w:r>
    </w:p>
    <w:p>
      <w:pPr>
        <w:pStyle w:val="Heading1"/>
        <w:spacing w:after="120" w:before="240"/>
      </w:pPr>
      <w:r>
        <w:t xml:space="preserve">4  Work programme</w:t>
      </w:r>
    </w:p>
    <w:p>
      <w:pPr>
        <w:spacing w:after="120"/>
      </w:pPr>
      <w:r>
        <w:rPr>
          <w:b/>
          <w:bCs/>
        </w:rPr>
        <w:t xml:space="preserve">WP1 – Synthesis and descriptor measurement (months 1–8, Stanford)</w:t>
      </w:r>
    </w:p>
    <w:p>
      <w:pPr>
        <w:spacing w:after="120"/>
      </w:pPr>
      <w:r>
        <w:t xml:space="preserve">PLD growth of epitaxial and textured Ce1-xGdxO2-δ films (x = 0; 0.05; 0.1; 0.15; 0.2, replicating the published crossbar compositions [9]) on YSZ-buffered and Nb:SrTiO3 substrates in the Stanford/SLAC thin-film laboratories; structural validation (XRD, AFM), stoichiometry (XPS, RBS where required); p(O2)-annealing protocol for δ-control. In parallel, first XAS campaign at SSRL: Ce-M4,5/L3 and O-K quantification of the Ce3+ fraction and Ce4f–O2p hybridisation for every composition and annealing state [14, 16] → the first experimental covalency/reducibility scale of the GDC series. Milestone M1 (month 8): validated sample series with complete descriptor set.</w:t>
      </w:r>
    </w:p>
    <w:p>
      <w:pPr>
        <w:spacing w:after="120"/>
      </w:pPr>
      <w:r>
        <w:rPr>
          <w:b/>
          <w:bCs/>
        </w:rPr>
        <w:t xml:space="preserve">WP2 – Devices and switching characterisation (months 6–12, Stanford)</w:t>
      </w:r>
    </w:p>
    <w:p>
      <w:pPr>
        <w:spacing w:after="120"/>
      </w:pPr>
      <w:r>
        <w:t xml:space="preserve">Pt/GDC/Pt crossbar and pad devices replicating the published platform [9] (≥ 30 nominally identical cells per composition), plus Pt/GDC/Nb:SrTiO3 as second flavour [12]; quasistatic and pulsed characterisation under the statistics protocol established in my doctorate (ON/OFF, forming, kinetics, retention, endurance). Milestone M2 (month 12): switching figures of merit as a function of x and δ with robust statistics on the established platform. The second SSRL campaign (XAS on switched cells) is scheduled in months 10–12, before the return to Germany.</w:t>
      </w:r>
    </w:p>
    <w:p>
      <w:pPr>
        <w:spacing w:after="120"/>
      </w:pPr>
      <w:r>
        <w:rPr>
          <w:b/>
          <w:bCs/>
        </w:rPr>
        <w:t xml:space="preserve">WP3 – Correlation, transfer and group proposal (months 13–18, Germany)</w:t>
      </w:r>
    </w:p>
    <w:p>
      <w:pPr>
        <w:spacing w:after="120"/>
      </w:pPr>
      <w:r>
        <w:t xml:space="preserve">Reintegration phase at the German host [RWTH Aachen / FZ Jülich]: correlation analysis covalency (XAS) ↔ EV ↔ switching metrics on the complete dataset; transfer of the XAS protocols to European beamlines (BESSY II/PETRA III) including a first beamtime proposal; publication of the covalency-resolved device study and FAIR dataset release; submission of the junior-group proposal. Milestone M3 (month 18): submitted publication(s), public dataset, submitted group proposal.</w:t>
      </w:r>
    </w:p>
    <w:p>
      <w:pPr>
        <w:pStyle w:val="Heading1"/>
        <w:spacing w:after="120" w:before="240"/>
      </w:pPr>
      <w:r>
        <w:t xml:space="preserve">5  Timeline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372"/>
        <w:gridCol w:w="950"/>
        <w:gridCol w:w="950"/>
        <w:gridCol w:w="950"/>
        <w:gridCol w:w="950"/>
        <w:gridCol w:w="950"/>
        <w:gridCol w:w="950"/>
      </w:tblGrid>
      <w:tr>
        <w:tc>
          <w:tcPr>
            <w:tcW w:type="dxa" w:w="3372"/>
            <w:shd w:fill="EEF1F5" w:val="clear"/>
            <w:tcMar>
              <w:top w:type="dxa" w:w="50"/>
              <w:left w:type="dxa" w:w="90"/>
              <w:bottom w:type="dxa" w:w="50"/>
              <w:right w:type="dxa" w:w="90"/>
            </w:tcMar>
          </w:tcPr>
          <w:p>
            <w:r>
              <w:rPr>
                <w:b/>
                <w:bCs/>
                <w:sz w:val="19"/>
                <w:szCs w:val="19"/>
              </w:rPr>
              <w:t xml:space="preserve">Work package</w:t>
            </w:r>
          </w:p>
        </w:tc>
        <w:tc>
          <w:tcPr>
            <w:tcW w:type="dxa" w:w="950"/>
            <w:shd w:fill="EEF1F5" w:val="clear"/>
            <w:tcMar>
              <w:top w:type="dxa" w:w="50"/>
              <w:left w:type="dxa" w:w="90"/>
              <w:bottom w:type="dxa" w:w="50"/>
              <w:right w:type="dxa" w:w="90"/>
            </w:tcMar>
          </w:tcPr>
          <w:p>
            <w:r>
              <w:rPr>
                <w:b/>
                <w:bCs/>
                <w:sz w:val="19"/>
                <w:szCs w:val="19"/>
              </w:rPr>
              <w:t xml:space="preserve">Q1</w:t>
            </w:r>
          </w:p>
        </w:tc>
        <w:tc>
          <w:tcPr>
            <w:tcW w:type="dxa" w:w="950"/>
            <w:shd w:fill="EEF1F5" w:val="clear"/>
            <w:tcMar>
              <w:top w:type="dxa" w:w="50"/>
              <w:left w:type="dxa" w:w="90"/>
              <w:bottom w:type="dxa" w:w="50"/>
              <w:right w:type="dxa" w:w="90"/>
            </w:tcMar>
          </w:tcPr>
          <w:p>
            <w:r>
              <w:rPr>
                <w:b/>
                <w:bCs/>
                <w:sz w:val="19"/>
                <w:szCs w:val="19"/>
              </w:rPr>
              <w:t xml:space="preserve">Q2</w:t>
            </w:r>
          </w:p>
        </w:tc>
        <w:tc>
          <w:tcPr>
            <w:tcW w:type="dxa" w:w="950"/>
            <w:shd w:fill="EEF1F5" w:val="clear"/>
            <w:tcMar>
              <w:top w:type="dxa" w:w="50"/>
              <w:left w:type="dxa" w:w="90"/>
              <w:bottom w:type="dxa" w:w="50"/>
              <w:right w:type="dxa" w:w="90"/>
            </w:tcMar>
          </w:tcPr>
          <w:p>
            <w:r>
              <w:rPr>
                <w:b/>
                <w:bCs/>
                <w:sz w:val="19"/>
                <w:szCs w:val="19"/>
              </w:rPr>
              <w:t xml:space="preserve">Q3</w:t>
            </w:r>
          </w:p>
        </w:tc>
        <w:tc>
          <w:tcPr>
            <w:tcW w:type="dxa" w:w="950"/>
            <w:shd w:fill="EEF1F5" w:val="clear"/>
            <w:tcMar>
              <w:top w:type="dxa" w:w="50"/>
              <w:left w:type="dxa" w:w="90"/>
              <w:bottom w:type="dxa" w:w="50"/>
              <w:right w:type="dxa" w:w="90"/>
            </w:tcMar>
          </w:tcPr>
          <w:p>
            <w:r>
              <w:rPr>
                <w:b/>
                <w:bCs/>
                <w:sz w:val="19"/>
                <w:szCs w:val="19"/>
              </w:rPr>
              <w:t xml:space="preserve">Q4</w:t>
            </w:r>
          </w:p>
        </w:tc>
        <w:tc>
          <w:tcPr>
            <w:tcW w:type="dxa" w:w="950"/>
            <w:shd w:fill="EEF1F5" w:val="clear"/>
            <w:tcMar>
              <w:top w:type="dxa" w:w="50"/>
              <w:left w:type="dxa" w:w="90"/>
              <w:bottom w:type="dxa" w:w="50"/>
              <w:right w:type="dxa" w:w="90"/>
            </w:tcMar>
          </w:tcPr>
          <w:p>
            <w:r>
              <w:rPr>
                <w:b/>
                <w:bCs/>
                <w:sz w:val="19"/>
                <w:szCs w:val="19"/>
              </w:rPr>
              <w:t xml:space="preserve">Q5</w:t>
            </w:r>
          </w:p>
        </w:tc>
        <w:tc>
          <w:tcPr>
            <w:tcW w:type="dxa" w:w="950"/>
            <w:shd w:fill="EEF1F5" w:val="clear"/>
            <w:tcMar>
              <w:top w:type="dxa" w:w="50"/>
              <w:left w:type="dxa" w:w="90"/>
              <w:bottom w:type="dxa" w:w="50"/>
              <w:right w:type="dxa" w:w="90"/>
            </w:tcMar>
          </w:tcPr>
          <w:p>
            <w:r>
              <w:rPr>
                <w:b/>
                <w:bCs/>
                <w:sz w:val="19"/>
                <w:szCs w:val="19"/>
              </w:rPr>
              <w:t xml:space="preserve">Q6</w:t>
            </w:r>
          </w:p>
        </w:tc>
      </w:tr>
      <w:tr>
        <w:tc>
          <w:tcPr>
            <w:tcW w:type="dxa" w:w="3372"/>
            <w:tcMar>
              <w:top w:type="dxa" w:w="50"/>
              <w:left w:type="dxa" w:w="90"/>
              <w:bottom w:type="dxa" w:w="50"/>
              <w:right w:type="dxa" w:w="90"/>
            </w:tcMar>
          </w:tcPr>
          <w:p>
            <w:r>
              <w:rPr>
                <w:b w:val="false"/>
                <w:bCs w:val="false"/>
                <w:sz w:val="19"/>
                <w:szCs w:val="19"/>
              </w:rPr>
              <w:t xml:space="preserve">WP1 Synthesis + XAS descriptors</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r>
      <w:tr>
        <w:tc>
          <w:tcPr>
            <w:tcW w:type="dxa" w:w="3372"/>
            <w:tcMar>
              <w:top w:type="dxa" w:w="50"/>
              <w:left w:type="dxa" w:w="90"/>
              <w:bottom w:type="dxa" w:w="50"/>
              <w:right w:type="dxa" w:w="90"/>
            </w:tcMar>
          </w:tcPr>
          <w:p>
            <w:r>
              <w:rPr>
                <w:b w:val="false"/>
                <w:bCs w:val="false"/>
                <w:sz w:val="19"/>
                <w:szCs w:val="19"/>
              </w:rPr>
              <w:t xml:space="preserve">WP2 Devices + switching statistics</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r>
      <w:tr>
        <w:tc>
          <w:tcPr>
            <w:tcW w:type="dxa" w:w="3372"/>
            <w:tcMar>
              <w:top w:type="dxa" w:w="50"/>
              <w:left w:type="dxa" w:w="90"/>
              <w:bottom w:type="dxa" w:w="50"/>
              <w:right w:type="dxa" w:w="90"/>
            </w:tcMar>
          </w:tcPr>
          <w:p>
            <w:r>
              <w:rPr>
                <w:b w:val="false"/>
                <w:bCs w:val="false"/>
                <w:sz w:val="19"/>
                <w:szCs w:val="19"/>
              </w:rPr>
              <w:t xml:space="preserve">WP3 Correlation + transfer + group proposal (DE)</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r>
    </w:tbl>
    <w:p>
      <w:pPr>
        <w:pStyle w:val="Heading1"/>
        <w:spacing w:after="120" w:before="240"/>
      </w:pPr>
      <w:r>
        <w:t xml:space="preserve">6  Career perspective</w:t>
      </w:r>
    </w:p>
    <w:p>
      <w:pPr>
        <w:spacing w:after="120"/>
      </w:pPr>
      <w:r>
        <w:t xml:space="preserve">The project is the building block between the applicant’s doctorate (memristive devices, PLD, switching statistics) and the goal of an own junior research group in Germany on descriptor-based materials development for memristive oxides (Emmy Noether proposal in preparation; ERC Starting Grant as an alternative). PRIME makes the return part of the funding itself: the reintegration phase at the German host is used to anchor the methodology in the Jülich/Aachen environment (JARA) and to submit the group proposal. The choice of GDC is deliberately map-strategic and host-strategic: nonstoichiometric ceria is the host group’s founding material, and the fluorite class is the sharpest available test of which descriptor formulation carries across oxide classes. The Stanford/SSRL collaboration will be continued as the transatlantic bridge of the future group.</w:t>
      </w:r>
    </w:p>
    <w:p>
      <w:pPr>
        <w:pStyle w:val="Heading1"/>
        <w:spacing w:after="120" w:before="240"/>
      </w:pPr>
      <w:r>
        <w:t xml:space="preserve">7  References</w:t>
      </w:r>
    </w:p>
    <w:p>
      <w:pPr>
        <w:spacing w:after="120"/>
      </w:pPr>
      <w:r>
        <w:rPr>
          <w:sz w:val="18"/>
          <w:szCs w:val="18"/>
        </w:rPr>
        <w:t xml:space="preserve">[1] R. Waser, M. Aono, Nanoionics-based resistive switching memories. Nature Materials 6, 833–840 (2007).</w:t>
      </w:r>
    </w:p>
    <w:p>
      <w:pPr>
        <w:spacing w:after="120"/>
      </w:pPr>
      <w:r>
        <w:rPr>
          <w:sz w:val="18"/>
          <w:szCs w:val="18"/>
        </w:rPr>
        <w:t xml:space="preserve">[2] R. Waser, R. Dittmann, G. Staikov, K. Szot, Redox-Based Resistive Switching Memories – Nanoionic Mechanisms, Prospects, and Challenges. Advanced Materials 21, 2632–2663 (2009).</w:t>
      </w:r>
    </w:p>
    <w:p>
      <w:pPr>
        <w:spacing w:after="120"/>
      </w:pPr>
      <w:r>
        <w:rPr>
          <w:sz w:val="18"/>
          <w:szCs w:val="18"/>
        </w:rPr>
        <w:t xml:space="preserve">[3] R. Dittmann, S. Menzel, R. Waser, Nanoionic memristive phenomena in metal oxides: the valence change mechanism. Advances in Physics 70, 155–349 (2021).</w:t>
      </w:r>
    </w:p>
    <w:p>
      <w:pPr>
        <w:spacing w:after="120"/>
      </w:pPr>
      <w:r>
        <w:rPr>
          <w:sz w:val="18"/>
          <w:szCs w:val="18"/>
        </w:rPr>
        <w:t xml:space="preserve">[4] S. Menzel, M. Waters, A. Marchewka, U. Böttger, R. Dittmann, R. Waser, Origin of the Ultra-nonlinear Switching Kinetics in Oxide-Based Resistive Switches. Advanced Functional Materials 21, 4487–4492 (2011).</w:t>
      </w:r>
    </w:p>
    <w:p>
      <w:pPr>
        <w:spacing w:after="120"/>
      </w:pPr>
      <w:r>
        <w:rPr>
          <w:sz w:val="18"/>
          <w:szCs w:val="18"/>
        </w:rPr>
        <w:t xml:space="preserve">[5] Y.-L. Lee, J. Kleis, J. Rossmeisl, Y. Shao-Horn, D. Morgan, Prediction of solid oxide fuel cell cathode activity with first-principles descriptors. Energy &amp; Environmental Science 4, 3966–3970 (2011).</w:t>
      </w:r>
    </w:p>
    <w:p>
      <w:pPr>
        <w:spacing w:after="120"/>
      </w:pPr>
      <w:r>
        <w:rPr>
          <w:sz w:val="18"/>
          <w:szCs w:val="18"/>
        </w:rPr>
        <w:t xml:space="preserve">[6] R. Jacobs, J. Hwang, Y. Shao-Horn, D. Morgan, Assessing Correlations of Perovskite Catalytic Performance with Electronic Structure Descriptors. Chemistry of Materials 31, 785–797 (2019).</w:t>
      </w:r>
    </w:p>
    <w:p>
      <w:pPr>
        <w:spacing w:after="120"/>
      </w:pPr>
      <w:r>
        <w:rPr>
          <w:sz w:val="18"/>
          <w:szCs w:val="18"/>
        </w:rPr>
        <w:t xml:space="preserve">[7] A. M. Deml, V. Stevanović, C. L. Muhich, C. B. Musgrave, R. O’Hayre, Oxide enthalpy of formation and band gap energy as accurate descriptors of oxygen vacancy formation energetics. Energy &amp; Environmental Science 7, 1996–2004 (2014).</w:t>
      </w:r>
    </w:p>
    <w:p>
      <w:pPr>
        <w:spacing w:after="120"/>
      </w:pPr>
      <w:r>
        <w:rPr>
          <w:sz w:val="18"/>
          <w:szCs w:val="18"/>
        </w:rPr>
        <w:t xml:space="preserve">[8] R. B. Wexler, G. Sai Gautam, E. B. Stechel, E. A. Carter, Factors Governing Oxygen Vacancy Formation in Oxide Perovskites. Journal of the American Chemical Society 143, 13212–13227 (2021).</w:t>
      </w:r>
    </w:p>
    <w:p>
      <w:pPr>
        <w:spacing w:after="120"/>
      </w:pPr>
      <w:r>
        <w:rPr>
          <w:sz w:val="18"/>
          <w:szCs w:val="18"/>
        </w:rPr>
        <w:t xml:space="preserve">[9] R. Schmitt, J. Spring, R. Korobko, J. L. M. Rupp, Design of Oxygen Vacancy Configuration for Memristive Systems. ACS Nano 11, 8881–8891 (2017).</w:t>
      </w:r>
    </w:p>
    <w:p>
      <w:pPr>
        <w:spacing w:after="120"/>
      </w:pPr>
      <w:r>
        <w:rPr>
          <w:sz w:val="18"/>
          <w:szCs w:val="18"/>
        </w:rPr>
        <w:t xml:space="preserve">[10] D. A. Andersson, S. I. Simak, N. V. Skorodumova, I. A. Abrikosov, B. Johansson, Optimization of ionic conductivity in doped ceria. Proceedings of the National Academy of Sciences 103, 3518–3521 (2006).</w:t>
      </w:r>
    </w:p>
    <w:p>
      <w:pPr>
        <w:spacing w:after="120"/>
      </w:pPr>
      <w:r>
        <w:rPr>
          <w:sz w:val="18"/>
          <w:szCs w:val="18"/>
        </w:rPr>
        <w:t xml:space="preserve">[11] Polaronic resistive switching in ceria-based memory devices. Advanced Electronic Materials 5, 1900271 (2019). [complete author list before submission]</w:t>
      </w:r>
    </w:p>
    <w:p>
      <w:pPr>
        <w:spacing w:after="120"/>
      </w:pPr>
      <w:r>
        <w:rPr>
          <w:sz w:val="18"/>
          <w:szCs w:val="18"/>
        </w:rPr>
        <w:t xml:space="preserve">[12] Resistive switching of Pt/Sm0.2Ce0.8O2-x/Nb:SrTiO3 devices. Materials 17, 3360 (2024). [complete author list and exact title before submission]</w:t>
      </w:r>
    </w:p>
    <w:p>
      <w:pPr>
        <w:spacing w:after="120"/>
      </w:pPr>
      <w:r>
        <w:rPr>
          <w:sz w:val="18"/>
          <w:szCs w:val="18"/>
        </w:rPr>
        <w:t xml:space="preserve">[13] S. R. Bishop, T. S. Stefanik, H. L. Tuller, Electrical conductivity and defect equilibria of Pr0.1Ce0.9O2-δ. Physical Chemistry Chemical Physics 13 (2011), DOI 10.1039/c0cp02920c. [complete pages before submission]</w:t>
      </w:r>
    </w:p>
    <w:p>
      <w:pPr>
        <w:spacing w:after="120"/>
      </w:pPr>
      <w:r>
        <w:rPr>
          <w:sz w:val="18"/>
          <w:szCs w:val="18"/>
        </w:rPr>
        <w:t xml:space="preserve">[14] Operando X-ray photoelectron and absorption spectroscopy of the Pr valence system in Pr0.1Ce0.9O2-δ. Chemistry of Materials 30, 2600 (2018). [complete author list and exact title before submission]</w:t>
      </w:r>
    </w:p>
    <w:p>
      <w:pPr>
        <w:spacing w:after="120"/>
      </w:pPr>
      <w:r>
        <w:rPr>
          <w:sz w:val="18"/>
          <w:szCs w:val="18"/>
        </w:rPr>
        <w:t xml:space="preserve">[15] J. Suntivich et al., Estimating Hybridization of Transition Metal and Oxygen States in Perovskites from O K-edge X-ray Absorption Spectroscopy. Journal of Physical Chemistry C 118, 1856–1863 (2014).</w:t>
      </w:r>
    </w:p>
    <w:p>
      <w:pPr>
        <w:spacing w:after="120"/>
      </w:pPr>
      <w:r>
        <w:rPr>
          <w:sz w:val="18"/>
          <w:szCs w:val="18"/>
        </w:rPr>
        <w:t xml:space="preserve">[16] F. Frati, M. O. J. Y. Hunault, F. M. F. de Groot, Oxygen K-edge X-ray Absorption Spectra. Chemical Reviews 120, 4056–4110 (2020).</w:t>
      </w:r>
    </w:p>
    <w:p>
      <w:pPr>
        <w:spacing w:after="120"/>
      </w:pPr>
      <w:r>
        <w:rPr>
          <w:sz w:val="18"/>
          <w:szCs w:val="18"/>
        </w:rPr>
        <w:t xml:space="preserve">[17] W. C. Chueh, C. Falter, M. Abbott, D. Scipio, P. Furler, S. M. Haile, A. Steinfeld, High-Flux Solar-Driven Thermochemical Dissociation of CO2 and H2O Using Nonstoichiometric Ceria. Science 330, 1797–1801 (2010).</w:t>
      </w:r>
    </w:p>
    <w:p>
      <w:pPr>
        <w:spacing w:after="120"/>
      </w:pPr>
      <w:r>
        <w:rPr>
          <w:sz w:val="18"/>
          <w:szCs w:val="18"/>
        </w:rPr>
        <w:t xml:space="preserve">[18] D. N. Mueller, M. L. Machala, H. Bluhm, W. C. Chueh, Redox activity of surface oxygen anions in oxygen-deficient perovskite oxides during electrochemical reactions. Nature Communications 6, 6097 (2015).</w:t>
      </w:r>
    </w:p>
    <w:p>
      <w:pPr>
        <w:spacing w:after="120"/>
      </w:pPr>
      <w:r>
        <w:rPr>
          <w:sz w:val="18"/>
          <w:szCs w:val="18"/>
        </w:rPr>
        <w:t xml:space="preserve">[19] C. Baeumer, J. Li, Q. Lu et al. (with W. C. Chueh), Tuning electrochemically driven surface transformation in atomically flat LaNiO3 thin films for enhanced water electrolysis. Nature Materials 20, 674–682 (2021).</w:t>
      </w:r>
    </w:p>
    <w:p>
      <w:pPr>
        <w:spacing w:after="120"/>
      </w:pPr>
      <w:r>
        <w:rPr>
          <w:sz w:val="18"/>
          <w:szCs w:val="18"/>
        </w:rPr>
        <w:t xml:space="preserve">[20] M. Wuttig et al., Revisiting the Nature of Chemical Bonding in Chalcogenides to Explain and Design their Properties. Advanced Materials 35, 2208485 (2023).</w:t>
      </w:r>
    </w:p>
    <w:p>
      <w:pPr>
        <w:spacing w:after="120"/>
      </w:pPr>
      <w:r>
        <w:rPr>
          <w:sz w:val="18"/>
          <w:szCs w:val="18"/>
        </w:rPr>
        <w:t xml:space="preserve">[21] J. Zaanen, G. A. Sawatzky, J. W. Allen, Band gaps and electronic structure of transition-metal compounds. Physical Review Letters 55, 418–421 (1985).</w:t>
      </w:r>
    </w:p>
    <w:p>
      <w:pPr>
        <w:spacing w:after="120"/>
      </w:pPr>
      <w:r>
        <w:rPr>
          <w:sz w:val="18"/>
          <w:szCs w:val="18"/>
        </w:rPr>
        <w:t xml:space="preserve">[22] A. Fujimori, F. Minami, Valence-band photoemission and optical absorption in nickel compounds. Physical Review B 30, 957–971 (1984).</w:t>
      </w:r>
    </w:p>
    <w:p>
      <w:pPr>
        <w:spacing w:after="120"/>
      </w:pPr>
      <w:r>
        <w:rPr>
          <w:sz w:val="18"/>
          <w:szCs w:val="18"/>
        </w:rPr>
        <w:t xml:space="preserve">[23] A. E. Bocquet, T. Mizokawa, T. Saitoh, H. Namatame, A. Fujimori, Electronic structure of 3d-transition-metal compounds by analysis of the 2p core-level photoemission spectra. Physical Review B 46, 3771–3784 (1992).</w:t>
      </w:r>
    </w:p>
    <w:p>
      <w:pPr>
        <w:spacing w:after="120"/>
      </w:pPr>
      <w:r>
        <w:rPr>
          <w:sz w:val="18"/>
          <w:szCs w:val="18"/>
        </w:rPr>
        <w:t xml:space="preserve">[24] T. Saitoh, A. E. Bocquet, T. Mizokawa, A. Fujimori, Systematic variation of the electronic structure of 3d transition-metal compounds. Physical Review B 52, 7934–7938 (1995).</w:t>
      </w:r>
    </w:p>
    <w:p>
      <w:pPr>
        <w:spacing w:after="120"/>
      </w:pPr>
      <w:r>
        <w:rPr>
          <w:sz w:val="18"/>
          <w:szCs w:val="18"/>
        </w:rPr>
        <w:t xml:space="preserve">[25] S. Nimkar, D. D. Sarma, H. R. Krishnamurthy, S. Ramasesha, Mean-field results of the multiple-band extended Hubbard model for the square-planar CuO2 lattice. Physical Review B 48, 7355–7363 (1993).</w:t>
      </w:r>
    </w:p>
    <w:p>
      <w:pPr>
        <w:spacing w:after="120"/>
      </w:pPr>
      <w:r>
        <w:rPr>
          <w:sz w:val="18"/>
          <w:szCs w:val="18"/>
        </w:rPr>
        <w:t xml:space="preserve">[26] F. M. F. de Groot, X-ray absorption and dichroism of transition metals and their compounds. Journal of Electron Spectroscopy and Related Phenomena 67, 529–622 (1994).</w:t>
      </w:r>
    </w:p>
    <w:p>
      <w:pPr>
        <w:spacing w:after="120"/>
      </w:pPr>
      <w:r>
        <w:rPr>
          <w:sz w:val="18"/>
          <w:szCs w:val="18"/>
        </w:rPr>
        <w:t xml:space="preserve">[E1] M. Buczek et al., Amorphous, Highly Conductive Pr0.7Ca0.3MnO3 for Area-Dependent Resistive Switching Devices. Advanced Electronic Materials (2026, accepted).</w:t>
      </w:r>
    </w:p>
    <w:p>
      <w:pPr>
        <w:spacing w:after="120"/>
      </w:pPr>
      <w:r>
        <w:rPr>
          <w:sz w:val="18"/>
          <w:szCs w:val="18"/>
        </w:rPr>
        <w:t xml:space="preserve">[E2] M. Buczek, Z. Moos, A. Gutsche, S. Menzel, R. Dittmann, Pr1-xCaxMnO3-Based Memristive Heterostructures: Basic Mechanisms and Applications. Chemical Reviews 125, 6156–6202 (2025).</w:t>
      </w:r>
    </w:p>
    <w:p>
      <w:pPr>
        <w:spacing w:after="120"/>
      </w:pPr>
      <w:r>
        <w:rPr>
          <w:sz w:val="18"/>
          <w:szCs w:val="18"/>
        </w:rPr>
        <w:t xml:space="preserve">[E3] M. Buczek et al., Large Area Pulsed Laser Deposition of Memristive Pr0.7Ca0.3MnO3 Heterostructures for Neuromorphic Computing. Thin Solid Films (2024).</w:t>
      </w:r>
    </w:p>
    <w:p>
      <w:pPr>
        <w:pStyle w:val="Heading1"/>
        <w:spacing w:after="120" w:before="240"/>
      </w:pPr>
      <w:r>
        <w:t xml:space="preserve">8  Notes before submission</w:t>
      </w:r>
    </w:p>
    <w:p>
      <w:pPr>
        <w:spacing w:after="120"/>
      </w:pPr>
      <w:r>
        <w:rPr>
          <w:sz w:val="18"/>
          <w:szCs w:val="18"/>
        </w:rPr>
        <w:t xml:space="preserve">• Verify all bracketed programme details (rates, deadlines, current call conditions) against the funder’s current documentation. • Coordinate the proposal with Prof. Chueh and fix the German/European host institution. • German host commitment (employment + reintegration workplace) and host statement from Prof. Chueh required. • Manuscript placeholders in the publication list ([E1]) to be updated at submission time.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2026-08-10T20:07:02.161Z</dcterms:created>
  <dcterms:modified xsi:type="dcterms:W3CDTF">2026-08-10T20:07:02.161Z</dcterms:modified>
</cp:coreProperties>
</file>

<file path=docProps/custom.xml><?xml version="1.0" encoding="utf-8"?>
<Properties xmlns="http://schemas.openxmlformats.org/officeDocument/2006/custom-properties" xmlns:vt="http://schemas.openxmlformats.org/officeDocument/2006/docPropsVTypes"/>
</file>