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Ce1-xGdxO2-δ Fluorite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the descriptor scale of this project is calibrated against cluster-model analysis, not against pre-edge intensity alone.</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10): validated sample series with complete descriptor set.</w:t>
      </w:r>
    </w:p>
    <w:p>
      <w:pPr>
        <w:spacing w:after="120"/>
      </w:pPr>
      <w:r>
        <w:rPr>
          <w:b/>
          <w:bCs/>
        </w:rPr>
        <w:t xml:space="preserve">WP2 – Devices and switching characterisation (months 8–18)</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18): switching figures of merit as a function of x and δ with robust statistics on the established platform.</w:t>
      </w:r>
    </w:p>
    <w:p>
      <w:pPr>
        <w:spacing w:after="120"/>
      </w:pPr>
      <w:r>
        <w:rPr>
          <w:b/>
          <w:bCs/>
        </w:rPr>
        <w:t xml:space="preserve">WP3 – Correlation, operando validation and publication (months 16–24)</w:t>
      </w:r>
    </w:p>
    <w:p>
      <w:pPr>
        <w:spacing w:after="120"/>
      </w:pPr>
      <w:r>
        <w:t xml:space="preserve">Correlation analysis XAS descriptor ↔ defect-chemical EV/association [10, 13] ↔ switching metrics; cross-class comparison with the perovskite descriptor data of the group programme. Second SSRL campaign: XAS on switched crossbars (ex-situ before/after switching, operando if successful). Publication of the first covalency-resolved fluorite memristor study; dataset released following FAIR principles. Milestone M3 (month 24): submitted publication(s), public dataset.</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GDC is deliberately map-strategic and host-strategic: nonstoichiometric ceria is the host group’s founding material, and the fluorite class is the sharpest available test of which descriptor formulation carries across oxide classes.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2026-08-10T20:07:02.242Z</dcterms:created>
  <dcterms:modified xsi:type="dcterms:W3CDTF">2026-08-10T20:07:02.242Z</dcterms:modified>
</cp:coreProperties>
</file>

<file path=docProps/custom.xml><?xml version="1.0" encoding="utf-8"?>
<Properties xmlns="http://schemas.openxmlformats.org/officeDocument/2006/custom-properties" xmlns:vt="http://schemas.openxmlformats.org/officeDocument/2006/docPropsVTypes"/>
</file>