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09.08.2026, Fokus-Revision 4 (Portfolio-Reduktion + Erweiterung). Claude-Code-generiert.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(Material_1–3, Material_6–8) enthält ein vollständiges Antragsset: Feodor-Lynen-Exposé, ERC Starting Grant (COVMAP) und DFG Emmy Noether (COMET-Ox) sowie eigenständige Vollanträge für DAAD PRIME, das DFG-Walter-Benjamin-Programm und die MSCA Postdoctoral Fellowship (Global), jeweils ohne Bezug auf die Feodor-Lynen-Förderung formuliert – für den Auslandsaufenthalt wird nur eines der Postdoc-Programme verfolgt; die Parallel-Entwürfe dienen dem Formatvergleich.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O-K-Preedge-Quantifizierung etabliert (Suntivich 2014, Frati 2020).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O-K-Preedge-Quantifizierung etabliert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O-K-Preedge-Methodik etabliert.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Verifikations-Flags: Asanuma-Rückelektrode (SrRuO3) aus Plattformkontext erschlossen; Choi-Al-Top aus Begleitpublikationen bestätigt – vor Einreichung am Volltext gegenprüfen. • EV ist nur für STF experimentnah (Defektmodell), sonst DFT – in den Anträgen sauber als rechnerisch kennzeichnen; für LNO wäre die Interstitial-Energetik (1b) als eigenes Arbeitspaket auszuweisen. • Verteidigungsdatum, Patentdetails, Kooperationszusagen (Chueh, Synchrotron-, DFT-Partner), Wahl der Gastinstitution (RWTH vs. FZJ).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2026-08-10T07:29:07.633Z</dcterms:created>
  <dcterms:modified xsi:type="dcterms:W3CDTF">2026-08-10T07:29:07.633Z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