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AD417" w14:textId="77777777" w:rsidR="00B93F12" w:rsidRDefault="00B93F1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5A175763" w14:textId="77777777" w:rsidR="00B93F12" w:rsidRDefault="00B93F12">
      <w:pPr>
        <w:pStyle w:val="NormalWeb"/>
        <w:rPr>
          <w:rFonts w:ascii="Arial" w:hAnsi="Arial" w:cs="Arial"/>
          <w:sz w:val="21"/>
          <w:szCs w:val="21"/>
        </w:rPr>
      </w:pPr>
      <w:r>
        <w:rPr>
          <w:rFonts w:ascii="Arial" w:hAnsi="Arial" w:cs="Arial"/>
          <w:sz w:val="21"/>
          <w:szCs w:val="21"/>
        </w:rPr>
        <w:t> </w:t>
      </w:r>
    </w:p>
    <w:p w14:paraId="4C80536C" w14:textId="77777777" w:rsidR="00B93F12" w:rsidRDefault="00B93F12">
      <w:pPr>
        <w:pStyle w:val="NormalWeb"/>
        <w:rPr>
          <w:rFonts w:ascii="Arial" w:hAnsi="Arial" w:cs="Arial"/>
          <w:sz w:val="21"/>
          <w:szCs w:val="21"/>
        </w:rPr>
      </w:pPr>
      <w:r>
        <w:rPr>
          <w:rFonts w:ascii="Arial" w:hAnsi="Arial" w:cs="Arial"/>
          <w:sz w:val="21"/>
          <w:szCs w:val="21"/>
        </w:rPr>
        <w:t> </w:t>
      </w:r>
    </w:p>
    <w:p w14:paraId="720D23A2" w14:textId="77777777" w:rsidR="00B93F12" w:rsidRDefault="00B93F12">
      <w:pPr>
        <w:pStyle w:val="NormalWeb"/>
        <w:rPr>
          <w:rFonts w:ascii="Arial" w:hAnsi="Arial" w:cs="Arial"/>
          <w:sz w:val="21"/>
          <w:szCs w:val="21"/>
        </w:rPr>
      </w:pPr>
      <w:r>
        <w:rPr>
          <w:rFonts w:ascii="Arial" w:hAnsi="Arial" w:cs="Arial"/>
          <w:sz w:val="21"/>
          <w:szCs w:val="21"/>
        </w:rPr>
        <w:t> </w:t>
      </w:r>
    </w:p>
    <w:p w14:paraId="7D1CF00A" w14:textId="77777777" w:rsidR="00B93F12" w:rsidRDefault="00B93F1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A31A8F1" w14:textId="77777777" w:rsidR="00B93F12" w:rsidRDefault="00B93F12">
      <w:pPr>
        <w:pStyle w:val="NormalWeb"/>
        <w:rPr>
          <w:rFonts w:ascii="Arial" w:hAnsi="Arial" w:cs="Arial"/>
          <w:sz w:val="21"/>
          <w:szCs w:val="21"/>
        </w:rPr>
      </w:pPr>
      <w:r>
        <w:rPr>
          <w:rFonts w:ascii="Arial" w:hAnsi="Arial" w:cs="Arial"/>
          <w:sz w:val="21"/>
          <w:szCs w:val="21"/>
        </w:rPr>
        <w:t> </w:t>
      </w:r>
    </w:p>
    <w:p w14:paraId="3E2B0263" w14:textId="77777777" w:rsidR="00B93F12" w:rsidRDefault="00B93F1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13076BD4" w14:textId="77777777" w:rsidR="00B93F12" w:rsidRDefault="00B93F1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1EC07205" w14:textId="77777777" w:rsidR="00B93F12" w:rsidRDefault="00B93F12">
      <w:pPr>
        <w:pStyle w:val="NormalWeb"/>
        <w:rPr>
          <w:rFonts w:ascii="Arial" w:hAnsi="Arial" w:cs="Arial"/>
          <w:sz w:val="21"/>
          <w:szCs w:val="21"/>
        </w:rPr>
      </w:pPr>
      <w:r>
        <w:rPr>
          <w:rFonts w:ascii="Arial" w:hAnsi="Arial" w:cs="Arial"/>
          <w:sz w:val="21"/>
          <w:szCs w:val="21"/>
        </w:rPr>
        <w:t> </w:t>
      </w:r>
    </w:p>
    <w:p w14:paraId="57E2E0AA" w14:textId="77777777" w:rsidR="00B93F12" w:rsidRDefault="00B93F1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47B93F30"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D1B2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AA48D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73645B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BA018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D9AA3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D754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17DF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D6B47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356C39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C0C14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2B37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9395D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67F6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14F3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22CCFEE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C8CE9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B25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2D5C7602" w14:textId="77777777" w:rsidR="00B93F12" w:rsidRDefault="00B93F12">
      <w:pPr>
        <w:pStyle w:val="NormalWeb"/>
        <w:rPr>
          <w:rFonts w:ascii="Arial" w:hAnsi="Arial" w:cs="Arial"/>
          <w:sz w:val="21"/>
          <w:szCs w:val="21"/>
        </w:rPr>
      </w:pPr>
      <w:r>
        <w:rPr>
          <w:rFonts w:ascii="Arial" w:hAnsi="Arial" w:cs="Arial"/>
          <w:sz w:val="21"/>
          <w:szCs w:val="21"/>
        </w:rPr>
        <w:t> </w:t>
      </w:r>
    </w:p>
    <w:p w14:paraId="4F27EF23" w14:textId="77777777" w:rsidR="00B93F12" w:rsidRDefault="00B93F1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4A0DE556" w14:textId="77777777" w:rsidR="00B93F12" w:rsidRDefault="00B93F12">
      <w:pPr>
        <w:pStyle w:val="Heading1"/>
        <w:pageBreakBefore/>
        <w:rPr>
          <w:rFonts w:ascii="Arial" w:eastAsia="Times New Roman" w:hAnsi="Arial" w:cs="Arial"/>
        </w:rPr>
      </w:pPr>
      <w:r>
        <w:rPr>
          <w:rFonts w:ascii="Arial" w:eastAsia="Times New Roman" w:hAnsi="Arial" w:cs="Arial"/>
        </w:rPr>
        <w:lastRenderedPageBreak/>
        <w:t>Summary</w:t>
      </w:r>
    </w:p>
    <w:p w14:paraId="1223E2FF" w14:textId="77777777" w:rsidR="00B93F12" w:rsidRDefault="00B93F1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05C80072" w14:textId="77777777" w:rsidR="00B93F12" w:rsidRDefault="00B93F1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64C5C48B" w14:textId="77777777" w:rsidR="00B93F12" w:rsidRDefault="00B93F1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validated by a “blind” prediction on an oxide not contained in the training set.</w:t>
      </w:r>
    </w:p>
    <w:p w14:paraId="1211EC01" w14:textId="77777777" w:rsidR="00B93F12" w:rsidRDefault="00B93F12">
      <w:pPr>
        <w:pStyle w:val="Heading1"/>
        <w:pageBreakBefore/>
        <w:rPr>
          <w:rFonts w:ascii="Arial" w:eastAsia="Times New Roman" w:hAnsi="Arial" w:cs="Arial"/>
        </w:rPr>
      </w:pPr>
      <w:r>
        <w:rPr>
          <w:rFonts w:ascii="Arial" w:eastAsia="Times New Roman" w:hAnsi="Arial" w:cs="Arial"/>
        </w:rPr>
        <w:t>1  State of the Art and Preliminary Work</w:t>
      </w:r>
    </w:p>
    <w:p w14:paraId="54979E3B" w14:textId="77777777" w:rsidR="00B93F12" w:rsidRDefault="00B93F12">
      <w:pPr>
        <w:pStyle w:val="Heading2"/>
        <w:rPr>
          <w:rFonts w:ascii="Arial" w:eastAsia="Times New Roman" w:hAnsi="Arial" w:cs="Arial"/>
        </w:rPr>
      </w:pPr>
      <w:r>
        <w:rPr>
          <w:rFonts w:ascii="Arial" w:eastAsia="Times New Roman" w:hAnsi="Arial" w:cs="Arial"/>
        </w:rPr>
        <w:t>1.1  State of the art</w:t>
      </w:r>
    </w:p>
    <w:p w14:paraId="579E1C4B" w14:textId="77777777" w:rsidR="00B93F12" w:rsidRDefault="00B93F12">
      <w:pPr>
        <w:pStyle w:val="Heading3"/>
        <w:rPr>
          <w:rFonts w:ascii="Arial" w:eastAsia="Times New Roman" w:hAnsi="Arial" w:cs="Arial"/>
        </w:rPr>
      </w:pPr>
      <w:r>
        <w:rPr>
          <w:rFonts w:ascii="Arial" w:eastAsia="Times New Roman" w:hAnsi="Arial" w:cs="Arial"/>
        </w:rPr>
        <w:t>1.1.1  Memristive switching in oxides: the valence change mechanism</w:t>
      </w:r>
    </w:p>
    <w:p w14:paraId="67B0416F" w14:textId="77777777" w:rsidR="00B93F12" w:rsidRDefault="00B93F1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6FCB3782" w14:textId="77777777" w:rsidR="00B93F12" w:rsidRDefault="00B93F1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621D5D8D" w14:textId="77777777" w:rsidR="00B93F12" w:rsidRDefault="00B93F1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B9AD6A5" w14:textId="77777777" w:rsidR="00B93F12" w:rsidRDefault="00B93F1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1E294B6A" w14:textId="77777777" w:rsidR="00B93F12" w:rsidRDefault="00B93F1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313EE252" w14:textId="77777777" w:rsidR="00B93F12" w:rsidRDefault="00B93F1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47D4233" w14:textId="77777777" w:rsidR="00B93F12" w:rsidRDefault="00B93F1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4617345" w14:textId="77777777" w:rsidR="00B93F12" w:rsidRDefault="00B93F1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0990089E" w14:textId="77777777" w:rsidR="00B93F12" w:rsidRDefault="00B93F12">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75A7541C" w14:textId="77777777" w:rsidR="00B93F12" w:rsidRDefault="00B93F1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2F52B7A6" w14:textId="77777777" w:rsidR="00B93F12" w:rsidRDefault="00B93F12">
      <w:pPr>
        <w:pStyle w:val="Heading3"/>
        <w:rPr>
          <w:rFonts w:ascii="Arial" w:eastAsia="Times New Roman" w:hAnsi="Arial" w:cs="Arial"/>
        </w:rPr>
      </w:pPr>
      <w:r>
        <w:rPr>
          <w:rFonts w:ascii="Arial" w:eastAsia="Times New Roman" w:hAnsi="Arial" w:cs="Arial"/>
        </w:rPr>
        <w:t>1.1.4  PLD growth of epitaxial oxide heterostructures</w:t>
      </w:r>
    </w:p>
    <w:p w14:paraId="135C305A" w14:textId="77777777" w:rsidR="00B93F12" w:rsidRDefault="00B93F1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52B7A664" w14:textId="77777777" w:rsidR="00B93F12" w:rsidRDefault="00B93F1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6A771EEB" w14:textId="77777777" w:rsidR="00B93F12" w:rsidRDefault="00B93F1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6EA2058"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0EE7BD4B" w14:textId="77777777" w:rsidR="00B93F12" w:rsidRDefault="00B93F12">
      <w:pPr>
        <w:pStyle w:val="Heading3"/>
        <w:rPr>
          <w:rFonts w:ascii="Arial" w:eastAsia="Times New Roman" w:hAnsi="Arial" w:cs="Arial"/>
        </w:rPr>
      </w:pPr>
      <w:r>
        <w:rPr>
          <w:rFonts w:ascii="Arial" w:eastAsia="Times New Roman" w:hAnsi="Arial" w:cs="Arial"/>
        </w:rPr>
        <w:t>1.1.6  Feasibility and prior findings on the chosen material series</w:t>
      </w:r>
    </w:p>
    <w:p w14:paraId="6B559A52" w14:textId="77777777" w:rsidR="00B93F12" w:rsidRDefault="00B93F1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itself lacks any noble-metal-interface demonstration (tip-based multilevel recording [68], reactive-contact interface devices [69, 88], in-situ TEM of vacancy-driven transitions [19]) and is therefore not part of the programme core.</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w:t>
      </w:r>
    </w:p>
    <w:p w14:paraId="4E0E1ED8" w14:textId="77777777" w:rsidR="00B93F12" w:rsidRDefault="00B93F1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Viewed along the descriptor chain, the evidence is complementary rather than complete: for the ferrite series the covalency axis is canonical [46] and EV(x) quantitative [31, 86], but intermediate-composition devices are absent – though switching under inert Au/SrRuO3 stacks is proven at the Sr-rich end member [16, 17], which turns the series from a feasibility risk into an optimisation space; for the manganite family the covalency axis is the calibration standard of the field [46] and noble-contact switching is proven for Pr1-xCaxMnO3 at a single composition [89], while EV is anchored only generically [42–44] and for La1-xSrxMnO3 no switching at a noble-metal interface has been reported for any composition – the reason the programme uses Pr1-xCaxMnO3 as its manganite series; and stoichiometry-controlled switching at a Pt interface has so far been shown only for the cation stoichiometry of SrTiO3 [78].</w:t>
      </w:r>
    </w:p>
    <w:p w14:paraId="0EC22368" w14:textId="77777777" w:rsidR="00B93F12" w:rsidRDefault="00B93F1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8D50594" w14:textId="77777777" w:rsidR="00B93F12" w:rsidRDefault="00B93F12">
      <w:pPr>
        <w:pStyle w:val="Heading2"/>
        <w:rPr>
          <w:rFonts w:ascii="Arial" w:eastAsia="Times New Roman" w:hAnsi="Arial" w:cs="Arial"/>
        </w:rPr>
      </w:pPr>
      <w:r>
        <w:rPr>
          <w:rFonts w:ascii="Arial" w:eastAsia="Times New Roman" w:hAnsi="Arial" w:cs="Arial"/>
        </w:rPr>
        <w:t>1.2  Preliminary work of the applicant</w:t>
      </w:r>
    </w:p>
    <w:p w14:paraId="2F43CC78" w14:textId="77777777" w:rsidR="00B93F12" w:rsidRDefault="00B93F1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5707D8EE" w14:textId="77777777" w:rsidR="00B93F12" w:rsidRDefault="00B93F1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31A0B49" w14:textId="77777777" w:rsidR="00B93F12" w:rsidRDefault="00B93F1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92FCDC7" w14:textId="77777777" w:rsidR="00B93F12" w:rsidRDefault="00B93F1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9F63877" w14:textId="77777777" w:rsidR="00B93F12" w:rsidRDefault="00B93F1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t>
      </w:r>
      <w:r>
        <w:rPr>
          <w:rFonts w:ascii="Arial" w:hAnsi="Arial" w:cs="Arial"/>
          <w:sz w:val="21"/>
          <w:szCs w:val="21"/>
        </w:rPr>
        <w:t xml:space="preserve">Within the fellowship project “Covalency as an experimental descriptor of memristive switching: the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CoO</w:t>
      </w:r>
      <w:r>
        <w:rPr>
          <w:rFonts w:ascii="Arial" w:hAnsi="Arial" w:cs="Arial"/>
          <w:sz w:val="21"/>
          <w:szCs w:val="21"/>
          <w:vertAlign w:val="subscript"/>
        </w:rPr>
        <w:t xml:space="preserve">3-δ</w:t>
      </w:r>
      <w:r>
        <w:rPr>
          <w:rFonts w:ascii="Arial" w:hAnsi="Arial" w:cs="Arial"/>
          <w:sz w:val="21"/>
          <w:szCs w:val="21"/>
        </w:rPr>
        <w:t xml:space="preserve"> series”, the applicant has grown an epitaxial LSCO composition series plus its switching-proven SrCoOx anchor – deliberately the cobaltite family whose Sr-rich end member switches under inert Au electrodes – established the O-K/Co-L covalency scale across it</w:t>
      </w:r>
      <w:r>
        <w:rPr>
          <w:rFonts w:ascii="Arial" w:hAnsi="Arial" w:cs="Arial"/>
          <w:sz w:val="21"/>
          <w:szCs w:val="21"/>
        </w:rPr>
        <w:t xml:space="preserve"> at the Stanford Synchrotron Radiation Lightsource (SSRL), and correlated it with the switching metrics of the same cells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35E0F9BC" w14:textId="77777777" w:rsidR="00B93F12" w:rsidRDefault="00B93F1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12D9663C" w14:textId="77777777" w:rsidR="00B93F12" w:rsidRDefault="00B93F12">
      <w:pPr>
        <w:pStyle w:val="NormalWeb"/>
        <w:rPr>
          <w:rFonts w:ascii="Arial" w:hAnsi="Arial" w:cs="Arial"/>
          <w:sz w:val="21"/>
          <w:szCs w:val="21"/>
        </w:rPr>
      </w:pPr>
      <w:r>
        <w:rPr>
          <w:rFonts w:ascii="Arial" w:hAnsi="Arial" w:cs="Arial"/>
          <w:b/>
          <w:bCs/>
          <w:sz w:val="21"/>
          <w:szCs w:val="21"/>
        </w:rPr>
        <w:t>Project-relevant publications of the applicant:</w:t>
      </w:r>
    </w:p>
    <w:p w14:paraId="3933C378" w14:textId="77777777" w:rsidR="00B93F12" w:rsidRDefault="00B93F12">
      <w:pPr>
        <w:spacing w:after="60"/>
        <w:ind w:hanging="480"/>
        <w:divId w:val="2076389555"/>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11DEAADD" w14:textId="77777777" w:rsidR="00B93F12" w:rsidRDefault="00B93F12">
      <w:pPr>
        <w:spacing w:after="60"/>
        <w:ind w:hanging="480"/>
        <w:divId w:val="2076389555"/>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64D92B7" w14:textId="77777777" w:rsidR="00B93F12" w:rsidRDefault="00B93F12">
      <w:pPr>
        <w:spacing w:after="60"/>
        <w:ind w:hanging="480"/>
        <w:divId w:val="2076389555"/>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9023353" w14:textId="77777777" w:rsidR="00B93F12" w:rsidRDefault="00B93F12">
      <w:pPr>
        <w:spacing w:after="60"/>
        <w:ind w:hanging="480"/>
        <w:divId w:val="2076389555"/>
        <w:rPr>
          <w:rFonts w:ascii="Arial" w:hAnsi="Arial" w:cs="Arial"/>
          <w:sz w:val="18"/>
          <w:szCs w:val="18"/>
        </w:rPr>
      </w:pPr>
      <w:r>
        <w:rPr>
          <w:rFonts w:ascii="Arial" w:hAnsi="Arial" w:cs="Arial"/>
          <w:sz w:val="18"/>
          <w:szCs w:val="18"/>
        </w:rPr>
        <w:t xml:space="preserve">[E4] M. Buczek, [co-authors], W. C. Chueh, [working title: </w:t>
      </w:r>
      <w:r>
        <w:rPr>
          <w:rFonts w:ascii="Arial" w:hAnsi="Arial" w:cs="Arial"/>
          <w:sz w:val="18"/>
          <w:szCs w:val="18"/>
        </w:rPr>
        <w:t xml:space="preserve">An experimental covalency scale for memristive La1-xSrxCoO3-δ</w:t>
      </w:r>
      <w:r>
        <w:rPr>
          <w:rFonts w:ascii="Arial" w:hAnsi="Arial" w:cs="Arial"/>
          <w:sz w:val="18"/>
          <w:szCs w:val="18"/>
        </w:rPr>
        <w:t xml:space="preserve">]. Manuscript in preparation (Feodor Lynen fellowship; update status at submission time).</w:t>
      </w:r>
    </w:p>
    <w:p w14:paraId="3477BD83" w14:textId="77777777" w:rsidR="00B93F12" w:rsidRDefault="00B93F12">
      <w:pPr>
        <w:pStyle w:val="muted1"/>
        <w:divId w:val="2076389555"/>
        <w:rPr>
          <w:rFonts w:ascii="Arial" w:hAnsi="Arial" w:cs="Arial"/>
        </w:rPr>
      </w:pPr>
      <w:r>
        <w:rPr>
          <w:rFonts w:ascii="Arial" w:hAnsi="Arial" w:cs="Arial"/>
        </w:rPr>
        <w:t>[Complete author lists and bibliographic details before submission; add patent application (NeuroSys) as [E5] if applicable.]</w:t>
      </w:r>
    </w:p>
    <w:p w14:paraId="70AE1391" w14:textId="77777777" w:rsidR="00B93F12" w:rsidRDefault="00B93F12">
      <w:pPr>
        <w:pStyle w:val="Heading1"/>
        <w:pageBreakBefore/>
        <w:rPr>
          <w:rFonts w:ascii="Arial" w:eastAsia="Times New Roman" w:hAnsi="Arial" w:cs="Arial"/>
        </w:rPr>
      </w:pPr>
      <w:r>
        <w:rPr>
          <w:rFonts w:ascii="Arial" w:eastAsia="Times New Roman" w:hAnsi="Arial" w:cs="Arial"/>
        </w:rPr>
        <w:t>2  Objectives and Work Programme</w:t>
      </w:r>
    </w:p>
    <w:p w14:paraId="61319EBB" w14:textId="77777777" w:rsidR="00B93F12" w:rsidRDefault="00B93F12">
      <w:pPr>
        <w:pStyle w:val="Heading2"/>
        <w:rPr>
          <w:rFonts w:ascii="Arial" w:eastAsia="Times New Roman" w:hAnsi="Arial" w:cs="Arial"/>
        </w:rPr>
      </w:pPr>
      <w:r>
        <w:rPr>
          <w:rFonts w:ascii="Arial" w:eastAsia="Times New Roman" w:hAnsi="Arial" w:cs="Arial"/>
        </w:rPr>
        <w:t>2.1  Anticipated total duration</w:t>
      </w:r>
    </w:p>
    <w:p w14:paraId="47A34BEB" w14:textId="77777777" w:rsidR="00B93F12" w:rsidRDefault="00B93F1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5EA443FF" w14:textId="77777777" w:rsidR="00B93F12" w:rsidRDefault="00B93F12">
      <w:pPr>
        <w:pStyle w:val="Heading2"/>
        <w:rPr>
          <w:rFonts w:ascii="Arial" w:eastAsia="Times New Roman" w:hAnsi="Arial" w:cs="Arial"/>
        </w:rPr>
      </w:pPr>
      <w:r>
        <w:rPr>
          <w:rFonts w:ascii="Arial" w:eastAsia="Times New Roman" w:hAnsi="Arial" w:cs="Arial"/>
        </w:rPr>
        <w:t>2.2  Objectives</w:t>
      </w:r>
    </w:p>
    <w:p w14:paraId="5ED16E5E" w14:textId="77777777" w:rsidR="00B93F12" w:rsidRDefault="00B93F1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2383F919" w14:textId="77777777" w:rsidR="00B93F12" w:rsidRDefault="00B93F12">
      <w:pPr>
        <w:pStyle w:val="NormalWeb"/>
        <w:rPr>
          <w:rFonts w:ascii="Arial" w:hAnsi="Arial" w:cs="Arial"/>
          <w:sz w:val="21"/>
          <w:szCs w:val="21"/>
        </w:rPr>
      </w:pPr>
      <w:r>
        <w:rPr>
          <w:rFonts w:ascii="Arial" w:hAnsi="Arial" w:cs="Arial"/>
          <w:sz w:val="21"/>
          <w:szCs w:val="21"/>
        </w:rPr>
        <w:t>Three testable hypotheses follow:</w:t>
      </w:r>
    </w:p>
    <w:p w14:paraId="18F7EB9B"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7A1663A2"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47F9453F"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40E2646B"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4833313D" w14:textId="77777777" w:rsidR="00B93F12" w:rsidRDefault="00B93F12">
      <w:pPr>
        <w:pStyle w:val="Heading2"/>
        <w:rPr>
          <w:rFonts w:ascii="Arial" w:eastAsia="Times New Roman" w:hAnsi="Arial" w:cs="Arial"/>
        </w:rPr>
      </w:pPr>
      <w:r>
        <w:rPr>
          <w:rFonts w:ascii="Arial" w:eastAsia="Times New Roman" w:hAnsi="Arial" w:cs="Arial"/>
        </w:rPr>
        <w:t>2.3  Materials strategy: covalency as an isolated control variable</w:t>
      </w:r>
    </w:p>
    <w:p w14:paraId="6EF4DF3A" w14:textId="77777777" w:rsidR="00B93F12" w:rsidRDefault="00B93F1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4324ADC1"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12A9E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0B09C9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3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CoO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or B-site series La(Fe</w:t>
      </w:r>
      <w:r>
        <w:rPr>
          <w:rFonts w:ascii="Arial" w:eastAsia="Times New Roman" w:hAnsi="Arial" w:cs="Arial"/>
          <w:b/>
          <w:bCs/>
          <w:sz w:val="21"/>
          <w:szCs w:val="21"/>
          <w:vertAlign w:val="subscript"/>
        </w:rPr>
        <w:t>1-y</w:t>
      </w:r>
      <w:r>
        <w:rPr>
          <w:rFonts w:ascii="Arial" w:eastAsia="Times New Roman" w:hAnsi="Arial" w:cs="Arial"/>
          <w:b/>
          <w:bCs/>
          <w:sz w:val="21"/>
          <w:szCs w:val="21"/>
        </w:rPr>
        <w:t>Co</w:t>
      </w:r>
      <w:r>
        <w:rPr>
          <w:rFonts w:ascii="Arial" w:eastAsia="Times New Roman" w:hAnsi="Arial" w:cs="Arial"/>
          <w:b/>
          <w:bCs/>
          <w:sz w:val="21"/>
          <w:szCs w:val="21"/>
          <w:vertAlign w:val="subscript"/>
        </w:rPr>
        <w:t>y</w:t>
      </w:r>
      <w:r>
        <w:rPr>
          <w:rFonts w:ascii="Arial" w:eastAsia="Times New Roman" w:hAnsi="Arial" w:cs="Arial"/>
          <w:b/>
          <w:bCs/>
          <w:sz w:val="21"/>
          <w:szCs w:val="21"/>
        </w:rPr>
        <w:t>)O</w:t>
      </w:r>
      <w:r>
        <w:rPr>
          <w:rFonts w:ascii="Arial" w:eastAsia="Times New Roman" w:hAnsi="Arial" w:cs="Arial"/>
          <w:b/>
          <w:bCs/>
          <w:sz w:val="21"/>
          <w:szCs w:val="21"/>
          <w:vertAlign w:val="subscript"/>
        </w:rPr>
        <w:t>3</w:t>
      </w:r>
      <w:r>
        <w:rPr>
          <w:rFonts w:ascii="Arial" w:eastAsia="Times New Roman" w:hAnsi="Arial" w:cs="Arial"/>
          <w:b/>
          <w:bCs/>
          <w:sz w:val="21"/>
          <w:szCs w:val="21"/>
        </w:rPr>
        <w:t xml:space="preserve"> (second project phase):</w:t>
      </w:r>
      <w:r>
        <w:rPr>
          <w:rFonts w:ascii="Arial" w:eastAsia="Times New Roman" w:hAnsi="Arial" w:cs="Arial"/>
          <w:sz w:val="21"/>
          <w:szCs w:val="21"/>
        </w:rPr>
        <w:t xml:space="preserve"> Densification and extension of the map; the cross-comparison Fe/Mn/Co separates covalency-driven from B-cation-specific effects (spin state, bandwidth) and tests the transferability of the descriptor.</w:t>
      </w:r>
    </w:p>
    <w:p w14:paraId="117E2F7B" w14:textId="77777777" w:rsidR="00B93F12" w:rsidRDefault="00B93F1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30F0347C" w14:textId="77777777" w:rsidR="00B93F12" w:rsidRDefault="00B93F12">
      <w:pPr>
        <w:pStyle w:val="Heading2"/>
        <w:rPr>
          <w:rFonts w:ascii="Arial" w:eastAsia="Times New Roman" w:hAnsi="Arial" w:cs="Arial"/>
        </w:rPr>
      </w:pPr>
      <w:r>
        <w:rPr>
          <w:rFonts w:ascii="Arial" w:eastAsia="Times New Roman" w:hAnsi="Arial" w:cs="Arial"/>
        </w:rPr>
        <w:t>2.4  Work programme</w:t>
      </w:r>
    </w:p>
    <w:p w14:paraId="0A1A58BC" w14:textId="77777777" w:rsidR="00B93F12" w:rsidRDefault="00B93F1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FCAD60D" w14:textId="77777777" w:rsidR="00B93F12" w:rsidRDefault="00B93F1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w:t>
      </w:r>
      <w:r>
        <w:rPr>
          <w:rFonts w:ascii="Arial" w:hAnsi="Arial" w:cs="Arial"/>
          <w:sz w:val="21"/>
          <w:szCs w:val="21"/>
        </w:rPr>
        <w:t xml:space="preserve">growth of a doping series, XAS covalency quantification, noble-electrode devices, correlation against switching data – has been established and de-risked on the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CoO</w:t>
      </w:r>
      <w:r>
        <w:rPr>
          <w:rFonts w:ascii="Arial" w:hAnsi="Arial" w:cs="Arial"/>
          <w:sz w:val="21"/>
          <w:szCs w:val="21"/>
          <w:vertAlign w:val="subscript"/>
        </w:rPr>
        <w:t xml:space="preserve">3-δ</w:t>
      </w:r>
      <w:r>
        <w:rPr>
          <w:rFonts w:ascii="Arial" w:hAnsi="Arial" w:cs="Arial"/>
          <w:sz w:val="21"/>
          <w:szCs w:val="21"/>
        </w:rPr>
        <w:t xml:space="preserve"> pilot series during the applicant’s Feodor Lynen project [E4] and is transferred here to the ferrite and manganite series</w:t>
      </w:r>
      <w:r>
        <w:rPr>
          <w:rFonts w:ascii="Arial" w:hAnsi="Arial" w:cs="Arial"/>
          <w:sz w:val="21"/>
          <w:szCs w:val="21"/>
        </w:rPr>
        <w:t xml:space="preserve">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13827B94" w14:textId="77777777" w:rsidR="00B93F12" w:rsidRDefault="00B93F12">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0FCBA1DA" w14:textId="77777777" w:rsidR="00B93F12" w:rsidRDefault="00B93F1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120CEDCF" w14:textId="77777777" w:rsidR="00B93F12" w:rsidRDefault="00B93F12">
      <w:pPr>
        <w:pStyle w:val="Heading3"/>
        <w:rPr>
          <w:rFonts w:ascii="Arial" w:eastAsia="Times New Roman" w:hAnsi="Arial" w:cs="Arial"/>
        </w:rPr>
      </w:pPr>
      <w:r>
        <w:rPr>
          <w:rFonts w:ascii="Arial" w:eastAsia="Times New Roman" w:hAnsi="Arial" w:cs="Arial"/>
        </w:rPr>
        <w:t>WP3 – Memristive characterisation (doctoral researcher 2; years 2–6)</w:t>
      </w:r>
    </w:p>
    <w:p w14:paraId="150BC7DD" w14:textId="77777777" w:rsidR="00B93F12" w:rsidRDefault="00B93F12">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FFF1C75" w14:textId="77777777" w:rsidR="00B93F12" w:rsidRDefault="00B93F12">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78F3B707" w14:textId="77777777" w:rsidR="00B93F12" w:rsidRDefault="00B93F1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38C17191" w14:textId="77777777" w:rsidR="00B93F12" w:rsidRDefault="00B93F1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702EA269" w14:textId="77777777" w:rsidR="00B93F12" w:rsidRDefault="00B93F1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(e.g. from the nickelate or double-perovskite family), quantitative prediction, synthesis and test.</w:t>
      </w:r>
    </w:p>
    <w:p w14:paraId="48199513" w14:textId="77777777" w:rsidR="00B93F12" w:rsidRDefault="00B93F1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6ACFA940"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78C85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CAB055A"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F933A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E402F9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F6D9EA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6D13E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2A0B86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40D6E94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9CE7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7A3A41"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198A3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7EE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EC08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5D865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6819B" w14:textId="77777777" w:rsidR="00B93F12" w:rsidRDefault="00B93F12">
            <w:pPr>
              <w:spacing w:before="120" w:after="200"/>
              <w:jc w:val="center"/>
              <w:rPr>
                <w:rFonts w:ascii="Arial" w:eastAsia="Times New Roman" w:hAnsi="Arial" w:cs="Arial"/>
                <w:sz w:val="19"/>
                <w:szCs w:val="19"/>
              </w:rPr>
            </w:pPr>
          </w:p>
        </w:tc>
      </w:tr>
      <w:tr w:rsidR="00000000" w14:paraId="02CC3C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C03E0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19833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CABC0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D22F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3AC0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AA4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EC298" w14:textId="77777777" w:rsidR="00B93F12" w:rsidRDefault="00B93F12">
            <w:pPr>
              <w:spacing w:before="120" w:after="200"/>
              <w:jc w:val="center"/>
              <w:rPr>
                <w:rFonts w:ascii="Arial" w:eastAsia="Times New Roman" w:hAnsi="Arial" w:cs="Arial"/>
                <w:sz w:val="19"/>
                <w:szCs w:val="19"/>
              </w:rPr>
            </w:pPr>
          </w:p>
        </w:tc>
      </w:tr>
      <w:tr w:rsidR="00000000" w14:paraId="33F799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3BC64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33C3C8"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EA9C9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6D50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83F6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94E048"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CF4CA"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05A28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CAFB4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6EE6B"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C562F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72DE1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CC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F12F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F636D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74F25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5672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428CD"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FE1930" w14:textId="77777777" w:rsidR="00B93F12" w:rsidRDefault="00B93F1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1922A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541154"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98C1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15B7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225D57BE" w14:textId="77777777" w:rsidR="00B93F12" w:rsidRDefault="00B93F1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1E53CE8F"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FBE41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6B59C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C5FB29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278C1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80D28"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D7CC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F83E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3C74D7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D902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4445A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31BEE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104D60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78EC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0C3EE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D6BE3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A3014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8BA5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54792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B934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AE8CA6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8D945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16EA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7FDA5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56FE62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A96FC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317B5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55508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7824B298" w14:textId="77777777" w:rsidR="00B93F12" w:rsidRDefault="00B93F12">
      <w:pPr>
        <w:pStyle w:val="Heading2"/>
        <w:rPr>
          <w:rFonts w:ascii="Arial" w:eastAsia="Times New Roman" w:hAnsi="Arial" w:cs="Arial"/>
        </w:rPr>
      </w:pPr>
      <w:r>
        <w:rPr>
          <w:rFonts w:ascii="Arial" w:eastAsia="Times New Roman" w:hAnsi="Arial" w:cs="Arial"/>
        </w:rPr>
        <w:t>2.6  Handling of research data</w:t>
      </w:r>
    </w:p>
    <w:p w14:paraId="32E47565" w14:textId="77777777" w:rsidR="00B93F12" w:rsidRDefault="00B93F1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0178670E" w14:textId="77777777" w:rsidR="00B93F12" w:rsidRDefault="00B93F12">
      <w:pPr>
        <w:pStyle w:val="Heading2"/>
        <w:rPr>
          <w:rFonts w:ascii="Arial" w:eastAsia="Times New Roman" w:hAnsi="Arial" w:cs="Arial"/>
        </w:rPr>
      </w:pPr>
      <w:r>
        <w:rPr>
          <w:rFonts w:ascii="Arial" w:eastAsia="Times New Roman" w:hAnsi="Arial" w:cs="Arial"/>
        </w:rPr>
        <w:t>2.7  Relevance and exploitation perspective</w:t>
      </w:r>
    </w:p>
    <w:p w14:paraId="031642E1" w14:textId="77777777" w:rsidR="00B93F12" w:rsidRDefault="00B93F1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08106D76" w14:textId="77777777" w:rsidR="00B93F12" w:rsidRDefault="00B93F12">
      <w:pPr>
        <w:pStyle w:val="Heading1"/>
        <w:pageBreakBefore/>
        <w:rPr>
          <w:rFonts w:ascii="Arial" w:eastAsia="Times New Roman" w:hAnsi="Arial" w:cs="Arial"/>
        </w:rPr>
      </w:pPr>
      <w:r>
        <w:rPr>
          <w:rFonts w:ascii="Arial" w:eastAsia="Times New Roman" w:hAnsi="Arial" w:cs="Arial"/>
        </w:rPr>
        <w:t>3  Bibliography</w:t>
      </w:r>
    </w:p>
    <w:p w14:paraId="7943FDEC" w14:textId="77777777" w:rsidR="00B93F12" w:rsidRDefault="00B93F12">
      <w:pPr>
        <w:spacing w:after="60"/>
        <w:ind w:hanging="480"/>
        <w:divId w:val="336543102"/>
        <w:rPr>
          <w:rFonts w:ascii="Arial" w:hAnsi="Arial" w:cs="Arial"/>
          <w:sz w:val="18"/>
          <w:szCs w:val="18"/>
        </w:rPr>
      </w:pPr>
      <w:r>
        <w:rPr>
          <w:rFonts w:ascii="Arial" w:hAnsi="Arial" w:cs="Arial"/>
          <w:sz w:val="18"/>
          <w:szCs w:val="18"/>
        </w:rPr>
        <w:t>[1] R. Waser, M. Aono, Nanoionics-based resistive switching memories. Nature Materials 6, 833–840 (2007).</w:t>
      </w:r>
    </w:p>
    <w:p w14:paraId="4071452F" w14:textId="77777777" w:rsidR="00B93F12" w:rsidRDefault="00B93F12">
      <w:pPr>
        <w:spacing w:after="60"/>
        <w:ind w:hanging="480"/>
        <w:divId w:val="33654310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47805F2" w14:textId="77777777" w:rsidR="00B93F12" w:rsidRDefault="00B93F12">
      <w:pPr>
        <w:spacing w:after="60"/>
        <w:ind w:hanging="480"/>
        <w:divId w:val="33654310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B890802" w14:textId="77777777" w:rsidR="00B93F12" w:rsidRDefault="00B93F12">
      <w:pPr>
        <w:spacing w:after="60"/>
        <w:ind w:hanging="480"/>
        <w:divId w:val="336543102"/>
        <w:rPr>
          <w:rFonts w:ascii="Arial" w:hAnsi="Arial" w:cs="Arial"/>
          <w:sz w:val="18"/>
          <w:szCs w:val="18"/>
        </w:rPr>
      </w:pPr>
      <w:r>
        <w:rPr>
          <w:rFonts w:ascii="Arial" w:hAnsi="Arial" w:cs="Arial"/>
          <w:sz w:val="18"/>
          <w:szCs w:val="18"/>
        </w:rPr>
        <w:t>[4] A. Sawa, Resistive switching in transition metal oxides. Materials Today 11(6), 28–36 (2008).</w:t>
      </w:r>
    </w:p>
    <w:p w14:paraId="7304E833" w14:textId="77777777" w:rsidR="00B93F12" w:rsidRDefault="00B93F12">
      <w:pPr>
        <w:spacing w:after="60"/>
        <w:ind w:hanging="480"/>
        <w:divId w:val="336543102"/>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E4CE491" w14:textId="77777777" w:rsidR="00B93F12" w:rsidRDefault="00B93F12">
      <w:pPr>
        <w:spacing w:after="60"/>
        <w:ind w:hanging="480"/>
        <w:divId w:val="336543102"/>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06E941DB" w14:textId="77777777" w:rsidR="00B93F12" w:rsidRDefault="00B93F12">
      <w:pPr>
        <w:spacing w:after="60"/>
        <w:ind w:hanging="480"/>
        <w:divId w:val="336543102"/>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3D90245C" w14:textId="77777777" w:rsidR="00B93F12" w:rsidRDefault="00B93F12">
      <w:pPr>
        <w:spacing w:after="60"/>
        <w:ind w:hanging="480"/>
        <w:divId w:val="336543102"/>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DCFA0EE" w14:textId="77777777" w:rsidR="00B93F12" w:rsidRDefault="00B93F12">
      <w:pPr>
        <w:spacing w:after="60"/>
        <w:ind w:hanging="480"/>
        <w:divId w:val="336543102"/>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15DBD8E" w14:textId="77777777" w:rsidR="00B93F12" w:rsidRDefault="00B93F12">
      <w:pPr>
        <w:spacing w:after="60"/>
        <w:ind w:hanging="480"/>
        <w:divId w:val="336543102"/>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043DA411" w14:textId="77777777" w:rsidR="00B93F12" w:rsidRDefault="00B93F12">
      <w:pPr>
        <w:spacing w:after="60"/>
        <w:ind w:hanging="480"/>
        <w:divId w:val="336543102"/>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4BCBCB7C" w14:textId="77777777" w:rsidR="00B93F12" w:rsidRDefault="00B93F12">
      <w:pPr>
        <w:spacing w:after="60"/>
        <w:ind w:hanging="480"/>
        <w:divId w:val="336543102"/>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644A38EE" w14:textId="77777777" w:rsidR="00B93F12" w:rsidRDefault="00B93F12">
      <w:pPr>
        <w:spacing w:after="60"/>
        <w:ind w:hanging="480"/>
        <w:divId w:val="336543102"/>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E76FE19" w14:textId="77777777" w:rsidR="00B93F12" w:rsidRDefault="00B93F12">
      <w:pPr>
        <w:spacing w:after="60"/>
        <w:ind w:hanging="480"/>
        <w:divId w:val="336543102"/>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05FEAD53" w14:textId="77777777" w:rsidR="00B93F12" w:rsidRDefault="00B93F12">
      <w:pPr>
        <w:spacing w:after="60"/>
        <w:ind w:hanging="480"/>
        <w:divId w:val="336543102"/>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164BEB06" w14:textId="77777777" w:rsidR="00B93F12" w:rsidRDefault="00B93F12">
      <w:pPr>
        <w:spacing w:after="60"/>
        <w:ind w:hanging="480"/>
        <w:divId w:val="336543102"/>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7983FC8C" w14:textId="77777777" w:rsidR="00B93F12" w:rsidRDefault="00B93F12">
      <w:pPr>
        <w:spacing w:after="60"/>
        <w:ind w:hanging="480"/>
        <w:divId w:val="336543102"/>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577C8FFA" w14:textId="77777777" w:rsidR="00B93F12" w:rsidRDefault="00B93F12">
      <w:pPr>
        <w:spacing w:after="60"/>
        <w:ind w:hanging="480"/>
        <w:divId w:val="336543102"/>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60AC533E" w14:textId="77777777" w:rsidR="00B93F12" w:rsidRDefault="00B93F12">
      <w:pPr>
        <w:spacing w:after="60"/>
        <w:ind w:hanging="480"/>
        <w:divId w:val="336543102"/>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4E02612B" w14:textId="77777777" w:rsidR="00B93F12" w:rsidRDefault="00B93F12">
      <w:pPr>
        <w:spacing w:after="60"/>
        <w:ind w:hanging="480"/>
        <w:divId w:val="336543102"/>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4C567AD3" w14:textId="77777777" w:rsidR="00B93F12" w:rsidRDefault="00B93F12">
      <w:pPr>
        <w:spacing w:after="60"/>
        <w:ind w:hanging="480"/>
        <w:divId w:val="336543102"/>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2CB2C014" w14:textId="77777777" w:rsidR="00B93F12" w:rsidRDefault="00B93F12">
      <w:pPr>
        <w:spacing w:after="60"/>
        <w:ind w:hanging="480"/>
        <w:divId w:val="336543102"/>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607F876B" w14:textId="77777777" w:rsidR="00B93F12" w:rsidRDefault="00B93F12">
      <w:pPr>
        <w:spacing w:after="60"/>
        <w:ind w:hanging="480"/>
        <w:divId w:val="336543102"/>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177B1101"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674813E0" w14:textId="77777777" w:rsidR="00B93F12" w:rsidRDefault="00B93F12">
      <w:pPr>
        <w:spacing w:after="60"/>
        <w:ind w:hanging="480"/>
        <w:divId w:val="336543102"/>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532F6146" w14:textId="77777777" w:rsidR="00B93F12" w:rsidRDefault="00B93F12">
      <w:pPr>
        <w:spacing w:after="60"/>
        <w:ind w:hanging="480"/>
        <w:divId w:val="336543102"/>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5BB39FA8" w14:textId="77777777" w:rsidR="00B93F12" w:rsidRDefault="00B93F12">
      <w:pPr>
        <w:spacing w:after="60"/>
        <w:ind w:hanging="480"/>
        <w:divId w:val="336543102"/>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1500D915" w14:textId="77777777" w:rsidR="00B93F12" w:rsidRDefault="00B93F12">
      <w:pPr>
        <w:spacing w:after="60"/>
        <w:ind w:hanging="480"/>
        <w:divId w:val="336543102"/>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5C94C76E" w14:textId="77777777" w:rsidR="00B93F12" w:rsidRDefault="00B93F12">
      <w:pPr>
        <w:spacing w:after="60"/>
        <w:ind w:hanging="480"/>
        <w:divId w:val="336543102"/>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52B3A7C4" w14:textId="77777777" w:rsidR="00B93F12" w:rsidRDefault="00B93F12">
      <w:pPr>
        <w:spacing w:after="60"/>
        <w:ind w:hanging="480"/>
        <w:divId w:val="336543102"/>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5137FE1E" w14:textId="77777777" w:rsidR="00B93F12" w:rsidRDefault="00B93F12">
      <w:pPr>
        <w:spacing w:after="60"/>
        <w:ind w:hanging="480"/>
        <w:divId w:val="336543102"/>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C1C9EA9" w14:textId="77777777" w:rsidR="00B93F12" w:rsidRDefault="00B93F12">
      <w:pPr>
        <w:spacing w:after="60"/>
        <w:ind w:hanging="480"/>
        <w:divId w:val="336543102"/>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20FFAA77" w14:textId="77777777" w:rsidR="00B93F12" w:rsidRDefault="00B93F12">
      <w:pPr>
        <w:spacing w:after="60"/>
        <w:ind w:hanging="480"/>
        <w:divId w:val="336543102"/>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B3B4E75" w14:textId="77777777" w:rsidR="00B93F12" w:rsidRDefault="00B93F12">
      <w:pPr>
        <w:spacing w:after="60"/>
        <w:ind w:hanging="480"/>
        <w:divId w:val="336543102"/>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7D3D8CF5" w14:textId="77777777" w:rsidR="00B93F12" w:rsidRDefault="00B93F12">
      <w:pPr>
        <w:spacing w:after="60"/>
        <w:ind w:hanging="480"/>
        <w:divId w:val="336543102"/>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D558485" w14:textId="77777777" w:rsidR="00B93F12" w:rsidRDefault="00B93F12">
      <w:pPr>
        <w:spacing w:after="60"/>
        <w:ind w:hanging="480"/>
        <w:divId w:val="336543102"/>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4C9C35A" w14:textId="77777777" w:rsidR="00B93F12" w:rsidRDefault="00B93F12">
      <w:pPr>
        <w:spacing w:after="60"/>
        <w:ind w:hanging="480"/>
        <w:divId w:val="336543102"/>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1B580FCA"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1C6285C9" w14:textId="77777777" w:rsidR="00B93F12" w:rsidRDefault="00B93F12">
      <w:pPr>
        <w:spacing w:after="60"/>
        <w:ind w:hanging="480"/>
        <w:divId w:val="336543102"/>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AB33BDA" w14:textId="77777777" w:rsidR="00B93F12" w:rsidRDefault="00B93F12">
      <w:pPr>
        <w:spacing w:after="60"/>
        <w:ind w:hanging="480"/>
        <w:divId w:val="336543102"/>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190BC6C8" w14:textId="77777777" w:rsidR="00B93F12" w:rsidRDefault="00B93F12">
      <w:pPr>
        <w:spacing w:after="60"/>
        <w:ind w:hanging="480"/>
        <w:divId w:val="336543102"/>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73D59D0D" w14:textId="77777777" w:rsidR="00B93F12" w:rsidRDefault="00B93F12">
      <w:pPr>
        <w:spacing w:after="60"/>
        <w:ind w:hanging="480"/>
        <w:divId w:val="336543102"/>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64F6F6FA" w14:textId="77777777" w:rsidR="00B93F12" w:rsidRDefault="00B93F12">
      <w:pPr>
        <w:spacing w:after="60"/>
        <w:ind w:hanging="480"/>
        <w:divId w:val="336543102"/>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716DCD61" w14:textId="77777777" w:rsidR="00B93F12" w:rsidRDefault="00B93F12">
      <w:pPr>
        <w:spacing w:after="60"/>
        <w:ind w:hanging="480"/>
        <w:divId w:val="336543102"/>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1C6CE60C" w14:textId="77777777" w:rsidR="00B93F12" w:rsidRDefault="00B93F12">
      <w:pPr>
        <w:spacing w:after="60"/>
        <w:ind w:hanging="480"/>
        <w:divId w:val="336543102"/>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8C20BBD" w14:textId="77777777" w:rsidR="00B93F12" w:rsidRDefault="00B93F12">
      <w:pPr>
        <w:spacing w:after="60"/>
        <w:ind w:hanging="480"/>
        <w:divId w:val="336543102"/>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7492008" w14:textId="77777777" w:rsidR="00B93F12" w:rsidRDefault="00B93F12">
      <w:pPr>
        <w:spacing w:after="60"/>
        <w:ind w:hanging="480"/>
        <w:divId w:val="336543102"/>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B5ED2F5" w14:textId="77777777" w:rsidR="00B93F12" w:rsidRDefault="00B93F12">
      <w:pPr>
        <w:spacing w:after="60"/>
        <w:ind w:hanging="480"/>
        <w:divId w:val="336543102"/>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7FCFEB19" w14:textId="77777777" w:rsidR="00B93F12" w:rsidRDefault="00B93F12">
      <w:pPr>
        <w:spacing w:after="60"/>
        <w:ind w:hanging="480"/>
        <w:divId w:val="336543102"/>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67B2613" w14:textId="77777777" w:rsidR="00B93F12" w:rsidRDefault="00B93F12">
      <w:pPr>
        <w:spacing w:after="60"/>
        <w:ind w:hanging="480"/>
        <w:divId w:val="336543102"/>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1D709AD2" w14:textId="77777777" w:rsidR="00B93F12" w:rsidRDefault="00B93F12">
      <w:pPr>
        <w:spacing w:after="60"/>
        <w:ind w:hanging="480"/>
        <w:divId w:val="336543102"/>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03F01DB2" w14:textId="77777777" w:rsidR="00B93F12" w:rsidRDefault="00B93F12">
      <w:pPr>
        <w:spacing w:after="60"/>
        <w:ind w:hanging="480"/>
        <w:divId w:val="336543102"/>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DAFDA01" w14:textId="77777777" w:rsidR="00B93F12" w:rsidRDefault="00B93F12">
      <w:pPr>
        <w:spacing w:after="60"/>
        <w:ind w:hanging="480"/>
        <w:divId w:val="336543102"/>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4E4B35E0" w14:textId="77777777" w:rsidR="00B93F12" w:rsidRDefault="00B93F12">
      <w:pPr>
        <w:spacing w:after="60"/>
        <w:ind w:hanging="480"/>
        <w:divId w:val="336543102"/>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365EA03A" w14:textId="77777777" w:rsidR="00B93F12" w:rsidRDefault="00B93F12">
      <w:pPr>
        <w:spacing w:after="60"/>
        <w:ind w:hanging="480"/>
        <w:divId w:val="336543102"/>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6735A058" w14:textId="77777777" w:rsidR="00B93F12" w:rsidRDefault="00B93F12">
      <w:pPr>
        <w:spacing w:after="60"/>
        <w:ind w:hanging="480"/>
        <w:divId w:val="336543102"/>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0F55308E" w14:textId="77777777" w:rsidR="00B93F12" w:rsidRDefault="00B93F12">
      <w:pPr>
        <w:spacing w:after="60"/>
        <w:ind w:hanging="480"/>
        <w:divId w:val="336543102"/>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5234703B" w14:textId="77777777" w:rsidR="00B93F12" w:rsidRDefault="00B93F12">
      <w:pPr>
        <w:spacing w:after="60"/>
        <w:ind w:hanging="480"/>
        <w:divId w:val="336543102"/>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40C26D90" w14:textId="77777777" w:rsidR="00B93F12" w:rsidRDefault="00B93F12">
      <w:pPr>
        <w:spacing w:after="60"/>
        <w:ind w:hanging="480"/>
        <w:divId w:val="336543102"/>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7DF1F6E3" w14:textId="77777777" w:rsidR="00B93F12" w:rsidRDefault="00B93F12">
      <w:pPr>
        <w:spacing w:after="60"/>
        <w:ind w:hanging="480"/>
        <w:divId w:val="336543102"/>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469970E7" w14:textId="77777777" w:rsidR="00B93F12" w:rsidRDefault="00B93F12">
      <w:pPr>
        <w:spacing w:after="60"/>
        <w:ind w:hanging="480"/>
        <w:divId w:val="336543102"/>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078D334D" w14:textId="77777777" w:rsidR="00B93F12" w:rsidRDefault="00B93F12">
      <w:pPr>
        <w:spacing w:after="60"/>
        <w:ind w:hanging="480"/>
        <w:divId w:val="336543102"/>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4EF5BB3B" w14:textId="77777777" w:rsidR="00B93F12" w:rsidRDefault="00B93F12">
      <w:pPr>
        <w:spacing w:after="60"/>
        <w:ind w:hanging="480"/>
        <w:divId w:val="336543102"/>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441CB15B" w14:textId="77777777" w:rsidR="00B93F12" w:rsidRDefault="00B93F12">
      <w:pPr>
        <w:spacing w:after="60"/>
        <w:ind w:hanging="480"/>
        <w:divId w:val="336543102"/>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1BCCD19E" w14:textId="77777777" w:rsidR="00B93F12" w:rsidRDefault="00B93F12">
      <w:pPr>
        <w:spacing w:after="60"/>
        <w:ind w:hanging="480"/>
        <w:divId w:val="336543102"/>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1B9260E9" w14:textId="77777777" w:rsidR="00B93F12" w:rsidRDefault="00B93F12">
      <w:pPr>
        <w:spacing w:after="60"/>
        <w:ind w:hanging="480"/>
        <w:divId w:val="336543102"/>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599C7B32" w14:textId="77777777" w:rsidR="00B93F12" w:rsidRDefault="00B93F12">
      <w:pPr>
        <w:spacing w:after="60"/>
        <w:ind w:hanging="480"/>
        <w:divId w:val="336543102"/>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F21FA" w14:textId="77777777" w:rsidR="00B93F12" w:rsidRDefault="00B93F12">
      <w:pPr>
        <w:spacing w:after="60"/>
        <w:ind w:hanging="480"/>
        <w:divId w:val="336543102"/>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237547B" w14:textId="77777777" w:rsidR="00B93F12" w:rsidRDefault="00B93F12">
      <w:pPr>
        <w:spacing w:after="60"/>
        <w:ind w:hanging="480"/>
        <w:divId w:val="336543102"/>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FB0B24C" w14:textId="77777777" w:rsidR="00B93F12" w:rsidRDefault="00B93F12">
      <w:pPr>
        <w:spacing w:after="60"/>
        <w:ind w:hanging="480"/>
        <w:divId w:val="336543102"/>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8B4EF9D" w14:textId="77777777" w:rsidR="00B93F12" w:rsidRDefault="00B93F12">
      <w:pPr>
        <w:spacing w:after="60"/>
        <w:ind w:hanging="480"/>
        <w:divId w:val="336543102"/>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50594A5A" w14:textId="77777777" w:rsidR="00B93F12" w:rsidRDefault="00B93F12">
      <w:pPr>
        <w:spacing w:after="60"/>
        <w:ind w:hanging="480"/>
        <w:divId w:val="336543102"/>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0C864354" w14:textId="77777777" w:rsidR="00B93F12" w:rsidRDefault="00B93F12">
      <w:pPr>
        <w:spacing w:after="60"/>
        <w:ind w:hanging="480"/>
        <w:divId w:val="336543102"/>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15D19ED2" w14:textId="77777777" w:rsidR="00B93F12" w:rsidRDefault="00B93F12">
      <w:pPr>
        <w:spacing w:after="60"/>
        <w:ind w:hanging="480"/>
        <w:divId w:val="336543102"/>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25C6A5B3" w14:textId="77777777" w:rsidR="00B93F12" w:rsidRDefault="00B93F12">
      <w:pPr>
        <w:spacing w:after="60"/>
        <w:ind w:hanging="480"/>
        <w:divId w:val="336543102"/>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50CF7B79" w14:textId="77777777" w:rsidR="00B93F12" w:rsidRDefault="00B93F12">
      <w:pPr>
        <w:spacing w:after="60"/>
        <w:ind w:hanging="480"/>
        <w:divId w:val="336543102"/>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42C0BAAE" w14:textId="77777777" w:rsidR="00B93F12" w:rsidRDefault="00B93F12">
      <w:pPr>
        <w:spacing w:after="60"/>
        <w:ind w:hanging="480"/>
        <w:divId w:val="336543102"/>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6C68A5C" w14:textId="77777777" w:rsidR="00B93F12" w:rsidRDefault="00B93F12">
      <w:pPr>
        <w:spacing w:after="60"/>
        <w:ind w:hanging="480"/>
        <w:divId w:val="336543102"/>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39B6F3DE" w14:textId="77777777" w:rsidR="00B93F12" w:rsidRDefault="00B93F12">
      <w:pPr>
        <w:spacing w:after="60"/>
        <w:ind w:hanging="480"/>
        <w:divId w:val="336543102"/>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AB65CA6" w14:textId="77777777" w:rsidR="00B93F12" w:rsidRDefault="00B93F12">
      <w:pPr>
        <w:spacing w:after="60"/>
        <w:ind w:hanging="480"/>
        <w:divId w:val="336543102"/>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336543102"/>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336543102"/>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336543102"/>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336543102"/>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336543102"/>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336543102"/>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336543102"/>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336543102"/>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336543102"/>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14:paraId="010D0D59" w14:textId="77777777" w:rsidR="00B93F12" w:rsidRDefault="00B93F12">
      <w:pPr>
        <w:pStyle w:val="Heading1"/>
        <w:pageBreakBefore/>
        <w:rPr>
          <w:rFonts w:ascii="Arial" w:eastAsia="Times New Roman" w:hAnsi="Arial" w:cs="Arial"/>
        </w:rPr>
      </w:pPr>
      <w:r>
        <w:rPr>
          <w:rFonts w:ascii="Arial" w:eastAsia="Times New Roman" w:hAnsi="Arial" w:cs="Arial"/>
        </w:rPr>
        <w:t>4  Requested Modules and Funds</w:t>
      </w:r>
    </w:p>
    <w:p w14:paraId="6CC5B5EB" w14:textId="77777777" w:rsidR="00B93F12" w:rsidRDefault="00B93F1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77E0E71D" w14:textId="77777777" w:rsidR="00B93F12" w:rsidRDefault="00B93F1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0163F194"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0F3AC0"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54D8AE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D78243"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AD07D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1302E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8A91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376625"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56A02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B40E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5A8F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3118A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6E4506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5AA7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68A67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6EEE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C825A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595CA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75592E9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1C27A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2A11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E418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55A75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01D51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5C18047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5D697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4CC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419BB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FF02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119C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AAAC8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F78F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120C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36C3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EACEC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0A56A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0ED846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EB8697"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971BCE"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129C95"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DC596"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61F3F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1A14C61C" w14:textId="77777777" w:rsidR="00B93F12" w:rsidRDefault="00B93F1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A00E974" w14:textId="77777777" w:rsidR="00B93F12" w:rsidRDefault="00B93F1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71C38D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008D35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A0A66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08B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DC15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ADE3C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CCB3E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B0A9C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D1BA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E13CC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108C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29C914"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F4BE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901DF"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9AAD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3E6A35EB" w14:textId="77777777" w:rsidR="00B93F12" w:rsidRDefault="00B93F1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3D54EE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A358B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8E581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DDFE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3FEB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30C41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1C0D7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EFBB6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F6239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2DC5B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15AD4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A4F1C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EFAD2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B2E388"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CFD3B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773E88B" w14:textId="77777777" w:rsidR="00B93F12" w:rsidRDefault="00B93F1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54ACD956" w14:textId="77777777" w:rsidR="00B93F12" w:rsidRDefault="00B93F1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285FCCF"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1AA4F8"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73760B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B2C7A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0711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005D5"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7FC4708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72833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20DCD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1260F2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1ED2A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3124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2057BC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46E80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FA9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53B0017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9F1A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3C0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2357C9D" w14:textId="77777777" w:rsidR="00B93F12" w:rsidRDefault="00B93F1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1739189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8FA5DF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7F398C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1358E3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E3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D4510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54245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9D22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4B12F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25306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E385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5484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45E3C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1C831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DD8C5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46F4DB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4C71DB"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B8A091"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22485C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A319B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1EE51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85FA3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16773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7391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04DD5904" w14:textId="77777777" w:rsidR="00B93F12" w:rsidRDefault="00B93F12">
      <w:pPr>
        <w:pStyle w:val="Heading1"/>
        <w:pageBreakBefore/>
        <w:rPr>
          <w:rFonts w:ascii="Arial" w:eastAsia="Times New Roman" w:hAnsi="Arial" w:cs="Arial"/>
        </w:rPr>
      </w:pPr>
      <w:r>
        <w:rPr>
          <w:rFonts w:ascii="Arial" w:eastAsia="Times New Roman" w:hAnsi="Arial" w:cs="Arial"/>
        </w:rPr>
        <w:t>5  Prerequisites for Carrying Out the Project</w:t>
      </w:r>
    </w:p>
    <w:p w14:paraId="3AACAF0B" w14:textId="77777777" w:rsidR="00B93F12" w:rsidRDefault="00B93F12">
      <w:pPr>
        <w:pStyle w:val="Heading2"/>
        <w:rPr>
          <w:rFonts w:ascii="Arial" w:eastAsia="Times New Roman" w:hAnsi="Arial" w:cs="Arial"/>
        </w:rPr>
      </w:pPr>
      <w:r>
        <w:rPr>
          <w:rFonts w:ascii="Arial" w:eastAsia="Times New Roman" w:hAnsi="Arial" w:cs="Arial"/>
        </w:rPr>
        <w:t>5.1  Environment at the host institution</w:t>
      </w:r>
    </w:p>
    <w:p w14:paraId="0DC40281" w14:textId="77777777" w:rsidR="00B93F12" w:rsidRDefault="00B93F1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33A0C99C" w14:textId="77777777" w:rsidR="00B93F12" w:rsidRDefault="00B93F12">
      <w:pPr>
        <w:pStyle w:val="Heading2"/>
        <w:rPr>
          <w:rFonts w:ascii="Arial" w:eastAsia="Times New Roman" w:hAnsi="Arial" w:cs="Arial"/>
        </w:rPr>
      </w:pPr>
      <w:r>
        <w:rPr>
          <w:rFonts w:ascii="Arial" w:eastAsia="Times New Roman" w:hAnsi="Arial" w:cs="Arial"/>
        </w:rPr>
        <w:t>5.2  Collaborations</w:t>
      </w:r>
    </w:p>
    <w:p w14:paraId="3A6328BC"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091E7D9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71C462F7"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1615938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54C91D79" w14:textId="77777777" w:rsidR="00B93F12" w:rsidRDefault="00B93F12">
      <w:pPr>
        <w:pStyle w:val="NormalWeb"/>
        <w:rPr>
          <w:rFonts w:ascii="Arial" w:hAnsi="Arial" w:cs="Arial"/>
          <w:sz w:val="21"/>
          <w:szCs w:val="21"/>
        </w:rPr>
      </w:pPr>
      <w:r>
        <w:rPr>
          <w:rFonts w:ascii="Arial" w:hAnsi="Arial" w:cs="Arial"/>
          <w:sz w:val="21"/>
          <w:szCs w:val="21"/>
        </w:rPr>
        <w:t>[Attach letters of commitment as appendices.]</w:t>
      </w:r>
    </w:p>
    <w:p w14:paraId="427C81B9" w14:textId="77777777" w:rsidR="00B93F12" w:rsidRDefault="00B93F12">
      <w:pPr>
        <w:pStyle w:val="Heading2"/>
        <w:rPr>
          <w:rFonts w:ascii="Arial" w:eastAsia="Times New Roman" w:hAnsi="Arial" w:cs="Arial"/>
        </w:rPr>
      </w:pPr>
      <w:r>
        <w:rPr>
          <w:rFonts w:ascii="Arial" w:eastAsia="Times New Roman" w:hAnsi="Arial" w:cs="Arial"/>
        </w:rPr>
        <w:t>5.3  Equal opportunities, early-career researchers</w:t>
      </w:r>
    </w:p>
    <w:p w14:paraId="3D897D16" w14:textId="77777777" w:rsidR="00B93F12" w:rsidRDefault="00B93F1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5E907787" w14:textId="77777777" w:rsidR="00B93F12" w:rsidRDefault="00B93F12">
      <w:pPr>
        <w:pStyle w:val="Heading1"/>
        <w:rPr>
          <w:rFonts w:ascii="Arial" w:eastAsia="Times New Roman" w:hAnsi="Arial" w:cs="Arial"/>
        </w:rPr>
      </w:pPr>
      <w:r>
        <w:rPr>
          <w:rFonts w:ascii="Arial" w:eastAsia="Times New Roman" w:hAnsi="Arial" w:cs="Arial"/>
        </w:rPr>
        <w:t>6  Declarations</w:t>
      </w:r>
    </w:p>
    <w:p w14:paraId="67465B45"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11284F1E"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526FFEB3"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D8AF9D6"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B93F1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E55BAE"/>
    <w:multiLevelType w:val="multilevel"/>
    <w:tmpl w:val="F67A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C619BA"/>
    <w:multiLevelType w:val="multilevel"/>
    <w:tmpl w:val="54B8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E9477F"/>
    <w:multiLevelType w:val="multilevel"/>
    <w:tmpl w:val="4DE4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CB06E0"/>
    <w:multiLevelType w:val="multilevel"/>
    <w:tmpl w:val="C64A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747259">
    <w:abstractNumId w:val="2"/>
  </w:num>
  <w:num w:numId="2" w16cid:durableId="1156602734">
    <w:abstractNumId w:val="0"/>
  </w:num>
  <w:num w:numId="3" w16cid:durableId="493574606">
    <w:abstractNumId w:val="1"/>
  </w:num>
  <w:num w:numId="4" w16cid:durableId="18267789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F358F"/>
    <w:rsid w:val="009F358F"/>
    <w:rsid w:val="00B93F12"/>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AA2542"/>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543102">
      <w:marLeft w:val="0"/>
      <w:marRight w:val="0"/>
      <w:marTop w:val="0"/>
      <w:marBottom w:val="0"/>
      <w:divBdr>
        <w:top w:val="none" w:sz="0" w:space="0" w:color="auto"/>
        <w:left w:val="none" w:sz="0" w:space="0" w:color="auto"/>
        <w:bottom w:val="none" w:sz="0" w:space="0" w:color="auto"/>
        <w:right w:val="none" w:sz="0" w:space="0" w:color="auto"/>
      </w:divBdr>
    </w:div>
    <w:div w:id="207638955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7698</Words>
  <Characters>46651</Characters>
  <Application>Microsoft Office Word</Application>
  <DocSecurity>4</DocSecurity>
  <Lines>897</Lines>
  <Paragraphs>456</Paragraphs>
  <ScaleCrop>false</ScaleCrop>
  <Company/>
  <LinksUpToDate>false</LinksUpToDate>
  <CharactersWithSpaces>53893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