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Alexander von Humboldt Foundation – Feodor Lynen Research Fellowship for Postdoctoral Researchers</w:t>
      </w:r>
    </w:p>
    <w:p>
      <w:pPr>
        <w:pStyle w:val="Title"/>
      </w:pPr>
      <w:r>
        <w:t xml:space="preserve">Application for a Feodor Lynen Research Fellowship</w:t>
      </w:r>
    </w:p>
    <w:p>
      <w:pPr>
        <w:spacing w:after="120"/>
      </w:pPr>
      <w:r>
        <w:rPr>
          <w:b/>
          <w:bCs/>
          <w:sz w:val="24"/>
          <w:szCs w:val="24"/>
        </w:rPr>
        <w:t xml:space="preserve">Covalency as an Experimental Descriptor of Memristive Switching: the La1-xSrxCoO3-δ Series with its Switching-Proven SrCoOx End Member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Mar>
              <w:top w:type="dxa" w:w="50"/>
              <w:left w:type="dxa" w:w="90"/>
              <w:bottom w:type="dxa" w:w="50"/>
              <w:right w:type="dxa" w:w="90"/>
            </w:tcMar>
          </w:tcPr>
          <w:p>
            <w:r>
              <w:rPr>
                <w:b w:val="false"/>
                <w:bCs w:val="false"/>
                <w:sz w:val="19"/>
                <w:szCs w:val="19"/>
              </w:rPr>
              <w:t xml:space="preserve">Applicant</w:t>
            </w:r>
          </w:p>
        </w:tc>
        <w:tc>
          <w:tcPr>
            <w:tcW w:type="dxa" w:w="70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000"/>
            <w:tcMar>
              <w:top w:type="dxa" w:w="50"/>
              <w:left w:type="dxa" w:w="90"/>
              <w:bottom w:type="dxa" w:w="50"/>
              <w:right w:type="dxa" w:w="90"/>
            </w:tcMar>
          </w:tcPr>
          <w:p>
            <w:r>
              <w:rPr>
                <w:b w:val="false"/>
                <w:bCs w:val="false"/>
                <w:sz w:val="19"/>
                <w:szCs w:val="19"/>
              </w:rPr>
              <w:t xml:space="preserve">Host</w:t>
            </w:r>
          </w:p>
        </w:tc>
        <w:tc>
          <w:tcPr>
            <w:tcW w:type="dxa" w:w="70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 Friedrich Wilhelm Bessel Research Award winner of the AvH Foundation (2021), member of the Humboldt Network</w:t>
            </w:r>
          </w:p>
        </w:tc>
      </w:tr>
      <w:tr>
        <w:tc>
          <w:tcPr>
            <w:tcW w:type="dxa" w:w="2000"/>
            <w:tcMar>
              <w:top w:type="dxa" w:w="50"/>
              <w:left w:type="dxa" w:w="90"/>
              <w:bottom w:type="dxa" w:w="50"/>
              <w:right w:type="dxa" w:w="90"/>
            </w:tcMar>
          </w:tcPr>
          <w:p>
            <w:r>
              <w:rPr>
                <w:b w:val="false"/>
                <w:bCs w:val="false"/>
                <w:sz w:val="19"/>
                <w:szCs w:val="19"/>
              </w:rPr>
              <w:t xml:space="preserve">Host institution</w:t>
            </w:r>
          </w:p>
        </w:tc>
        <w:tc>
          <w:tcPr>
            <w:tcW w:type="dxa" w:w="7072"/>
            <w:tcMar>
              <w:top w:type="dxa" w:w="50"/>
              <w:left w:type="dxa" w:w="90"/>
              <w:bottom w:type="dxa" w:w="50"/>
              <w:right w:type="dxa" w:w="90"/>
            </w:tcMar>
          </w:tcPr>
          <w:p>
            <w:r>
              <w:rPr>
                <w:b w:val="false"/>
                <w:bCs w:val="false"/>
                <w:sz w:val="19"/>
                <w:szCs w:val="19"/>
              </w:rPr>
              <w:t xml:space="preserve">Stanford University / SLAC National Accelerator Laboratory (Stanford Synchrotron Radiation Lightsource, SSRL)</w:t>
            </w:r>
          </w:p>
        </w:tc>
      </w:tr>
      <w:tr>
        <w:tc>
          <w:tcPr>
            <w:tcW w:type="dxa" w:w="2000"/>
            <w:tcMar>
              <w:top w:type="dxa" w:w="50"/>
              <w:left w:type="dxa" w:w="90"/>
              <w:bottom w:type="dxa" w:w="50"/>
              <w:right w:type="dxa" w:w="90"/>
            </w:tcMar>
          </w:tcPr>
          <w:p>
            <w:r>
              <w:rPr>
                <w:b w:val="false"/>
                <w:bCs w:val="false"/>
                <w:sz w:val="19"/>
                <w:szCs w:val="19"/>
              </w:rPr>
              <w:t xml:space="preserve">Duration</w:t>
            </w:r>
          </w:p>
        </w:tc>
        <w:tc>
          <w:tcPr>
            <w:tcW w:type="dxa" w:w="7072"/>
            <w:tcMar>
              <w:top w:type="dxa" w:w="50"/>
              <w:left w:type="dxa" w:w="90"/>
              <w:bottom w:type="dxa" w:w="50"/>
              <w:right w:type="dxa" w:w="90"/>
            </w:tcMar>
          </w:tcPr>
          <w:p>
            <w:r>
              <w:rPr>
                <w:b w:val="false"/>
                <w:bCs w:val="false"/>
                <w:sz w:val="19"/>
                <w:szCs w:val="19"/>
              </w:rPr>
              <w:t xml:space="preserve">24 months, starting [e.g. Q2/2027; fellowship must begin 2–12 months after the selection meeting]</w:t>
            </w:r>
          </w:p>
        </w:tc>
      </w:tr>
      <w:tr>
        <w:tc>
          <w:tcPr>
            <w:tcW w:type="dxa" w:w="2000"/>
            <w:tcMar>
              <w:top w:type="dxa" w:w="50"/>
              <w:left w:type="dxa" w:w="90"/>
              <w:bottom w:type="dxa" w:w="50"/>
              <w:right w:type="dxa" w:w="90"/>
            </w:tcMar>
          </w:tcPr>
          <w:p>
            <w:r>
              <w:rPr>
                <w:b w:val="false"/>
                <w:bCs w:val="false"/>
                <w:sz w:val="19"/>
                <w:szCs w:val="19"/>
              </w:rPr>
              <w:t xml:space="preserve">Programme line</w:t>
            </w:r>
          </w:p>
        </w:tc>
        <w:tc>
          <w:tcPr>
            <w:tcW w:type="dxa" w:w="7072"/>
            <w:tcMar>
              <w:top w:type="dxa" w:w="50"/>
              <w:left w:type="dxa" w:w="90"/>
              <w:bottom w:type="dxa" w:w="50"/>
              <w:right w:type="dxa" w:w="90"/>
            </w:tcMar>
          </w:tcPr>
          <w:p>
            <w:r>
              <w:rPr>
                <w:b w:val="false"/>
                <w:bCs w:val="false"/>
                <w:sz w:val="19"/>
                <w:szCs w:val="19"/>
              </w:rPr>
              <w:t xml:space="preserve">Postdoctoral researchers (doctorate 2026, i.e. within the four-year window)</w:t>
            </w:r>
          </w:p>
        </w:tc>
      </w:tr>
      <w:tr>
        <w:tc>
          <w:tcPr>
            <w:tcW w:type="dxa" w:w="2000"/>
            <w:tcMar>
              <w:top w:type="dxa" w:w="50"/>
              <w:left w:type="dxa" w:w="90"/>
              <w:bottom w:type="dxa" w:w="50"/>
              <w:right w:type="dxa" w:w="90"/>
            </w:tcMar>
          </w:tcPr>
          <w:p>
            <w:r>
              <w:rPr>
                <w:b w:val="false"/>
                <w:bCs w:val="false"/>
                <w:sz w:val="19"/>
                <w:szCs w:val="19"/>
              </w:rPr>
              <w:t xml:space="preserve">Targeted selection round</w:t>
            </w:r>
          </w:p>
        </w:tc>
        <w:tc>
          <w:tcPr>
            <w:tcW w:type="dxa" w:w="7072"/>
            <w:tcMar>
              <w:top w:type="dxa" w:w="50"/>
              <w:left w:type="dxa" w:w="90"/>
              <w:bottom w:type="dxa" w:w="50"/>
              <w:right w:type="dxa" w:w="90"/>
            </w:tcMar>
          </w:tcPr>
          <w:p>
            <w:r>
              <w:rPr>
                <w:b w:val="false"/>
                <w:bCs w:val="false"/>
                <w:sz w:val="19"/>
                <w:szCs w:val="19"/>
              </w:rPr>
              <w:t xml:space="preserve">[February/June/October; submission recommended 4–7 months in advance]</w:t>
            </w:r>
          </w:p>
        </w:tc>
      </w:tr>
    </w:tbl>
    <w:p>
      <w:pPr>
        <w:spacing w:after="120"/>
      </w:pPr>
      <w:r>
        <w:rPr>
          <w:i/>
          <w:iCs/>
          <w:sz w:val="18"/>
          <w:szCs w:val="18"/>
        </w:rPr>
        <w:t xml:space="preserve">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 This material set was added on 09.08.2026 after a systematic family screening (see Materialscreening_2026-08-09) against three evidence criteria: covalency-vs-stoichiometry (XAS), EV-vs-covalency, and demonstrated switching at a noble-metal interface.</w:t>
      </w:r>
    </w:p>
    <w:p>
      <w:pPr>
        <w:pStyle w:val="Heading1"/>
        <w:spacing w:after="120" w:before="240"/>
      </w:pPr>
      <w:r>
        <w:t xml:space="preserve">Research Proposal (Exposé)</w:t>
      </w:r>
    </w:p>
    <w:p>
      <w:pPr>
        <w:pStyle w:val="Heading2"/>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methodology fully established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pStyle w:val="Heading2"/>
        <w:spacing w:after="120" w:before="240"/>
      </w:pPr>
      <w:r>
        <w:t xml:space="preserve">2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Heading2"/>
        <w:spacing w:after="120" w:before="240"/>
      </w:pPr>
      <w:r>
        <w:t xml:space="preserve">3  Work programme (24 months)</w:t>
      </w:r>
    </w:p>
    <w:p>
      <w:pPr>
        <w:spacing w:after="120"/>
      </w:pPr>
      <w:r>
        <w:rPr>
          <w:b/>
          <w:bCs/>
        </w:rPr>
        <w:t xml:space="preserve">WP1 – Synthesis and descriptor measurement (months 1–10)</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10): validated sample series with complete descriptor set.</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18): switching figures of merit as a function of x with robust statistics.</w:t>
      </w:r>
    </w:p>
    <w:p>
      <w:pPr>
        <w:spacing w:after="120"/>
      </w:pPr>
      <w:r>
        <w:rPr>
          <w:b/>
          <w:bCs/>
        </w:rPr>
        <w:t xml:space="preserve">WP3 – Correlation, operando validation and publication (months 16–24)</w:t>
      </w:r>
    </w:p>
    <w:p>
      <w:pPr>
        <w:spacing w:after="120"/>
      </w:pPr>
      <w:r>
        <w:t xml:space="preserve">Correlation analysis covalency (XAS) ↔ EV (defect chemistry [10], descriptor models [5–8, 11]) ↔ switching metrics; test of the optimum hypothesis. Second SSRL campaign: XAS on switched cells (ex-situ before/after switching, operando if successful) to verify that composition-dependent differences rest on different VO dynamics. Publication of the first covalency-resolved cobaltite memristor study; dataset released following FAIR principles. Milestone M3 (month 24): submitted publication(s), public dataset.</w:t>
      </w:r>
    </w:p>
    <w:p>
      <w:pPr>
        <w:pStyle w:val="Heading2"/>
        <w:spacing w:after="120" w:before="240"/>
      </w:pPr>
      <w:r>
        <w:t xml:space="preserve">4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2"/>
        <w:spacing w:after="120" w:before="240"/>
      </w:pPr>
      <w:r>
        <w:t xml:space="preserve">5  Career perspective and return strategy</w:t>
      </w:r>
    </w:p>
    <w:p>
      <w:pPr>
        <w:spacing w:after="120"/>
      </w:pPr>
      <w: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for the larger programme of a “treasure map” of memristive oxides in analogy to the bonding-descriptor maps of Wuttig et al. [25]. The choice of LSCO for this fellowship is deliberate: it is the one perovskite family whose covalency→EV link is already published in quantitative form [10, 11], so the fellowship data feed directly into the descriptor map of the subsequent group programme, and its cobaltite axis pairs naturally with the ferrite series (LSFO/SrFeOx) of the planned Emmy Noether/ERC programme.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pPr>
        <w:pStyle w:val="Heading2"/>
        <w:spacing w:after="120" w:before="240"/>
      </w:pPr>
      <w:r>
        <w:t xml:space="preserve">6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spacing w:after="120"/>
      </w:pPr>
      <w:r>
        <w:rPr>
          <w:sz w:val="18"/>
          <w:szCs w:val="18"/>
        </w:rPr>
        <w:t xml:space="preserve">[E4] M. Buczek, [co-authors], W. C. Chueh, [working title: An experimental covalency scale for memristive La1-xSrxCoO3-δ]. Manuscript in preparation (Feodor Lynen fellowship; update status at submission time).</w:t>
      </w:r>
    </w:p>
    <w:p>
      <w:pPr>
        <w:pStyle w:val="Heading1"/>
        <w:spacing w:after="120" w:before="240"/>
      </w:pPr>
      <w:r>
        <w:t xml:space="preserve">Checklist of Further Application Documents (AvH online portal)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c>
          <w:tcPr>
            <w:tcW w:type="dxa" w:w="3300"/>
            <w:shd w:fill="EEF1F5" w:val="clear"/>
            <w:tcMar>
              <w:top w:type="dxa" w:w="50"/>
              <w:left w:type="dxa" w:w="90"/>
              <w:bottom w:type="dxa" w:w="50"/>
              <w:right w:type="dxa" w:w="90"/>
            </w:tcMar>
          </w:tcPr>
          <w:p>
            <w:r>
              <w:rPr>
                <w:b/>
                <w:bCs/>
                <w:sz w:val="19"/>
                <w:szCs w:val="19"/>
              </w:rPr>
              <w:t xml:space="preserve">Document</w:t>
            </w:r>
          </w:p>
        </w:tc>
        <w:tc>
          <w:tcPr>
            <w:tcW w:type="dxa" w:w="5772"/>
            <w:shd w:fill="EEF1F5" w:val="clear"/>
            <w:tcMar>
              <w:top w:type="dxa" w:w="50"/>
              <w:left w:type="dxa" w:w="90"/>
              <w:bottom w:type="dxa" w:w="50"/>
              <w:right w:type="dxa" w:w="90"/>
            </w:tcMar>
          </w:tcPr>
          <w:p>
            <w:r>
              <w:rPr>
                <w:b/>
                <w:bCs/>
                <w:sz w:val="19"/>
                <w:szCs w:val="19"/>
              </w:rPr>
              <w:t xml:space="preserve">Status / note</w:t>
            </w:r>
          </w:p>
        </w:tc>
      </w:tr>
      <w:tr>
        <w:tc>
          <w:tcPr>
            <w:tcW w:type="dxa" w:w="3300"/>
            <w:tcMar>
              <w:top w:type="dxa" w:w="50"/>
              <w:left w:type="dxa" w:w="90"/>
              <w:bottom w:type="dxa" w:w="50"/>
              <w:right w:type="dxa" w:w="90"/>
            </w:tcMar>
          </w:tcPr>
          <w:p>
            <w:r>
              <w:rPr>
                <w:b w:val="false"/>
                <w:bCs w:val="false"/>
                <w:sz w:val="19"/>
                <w:szCs w:val="19"/>
              </w:rPr>
              <w:t xml:space="preserve">Curriculum vitae (max. 2 pages)</w:t>
            </w:r>
          </w:p>
        </w:tc>
        <w:tc>
          <w:tcPr>
            <w:tcW w:type="dxa" w:w="5772"/>
            <w:tcMar>
              <w:top w:type="dxa" w:w="50"/>
              <w:left w:type="dxa" w:w="90"/>
              <w:bottom w:type="dxa" w:w="50"/>
              <w:right w:type="dxa" w:w="90"/>
            </w:tcMar>
          </w:tcPr>
          <w:p>
            <w:r>
              <w:rPr>
                <w:b w:val="false"/>
                <w:bCs w:val="false"/>
                <w:sz w:val="19"/>
                <w:szCs w:val="19"/>
              </w:rPr>
              <w:t xml:space="preserve">Condense from CV_Max_Buczek; focus: doctorate, methodological profile, publications, supervision</w:t>
            </w:r>
          </w:p>
        </w:tc>
      </w:tr>
      <w:tr>
        <w:tc>
          <w:tcPr>
            <w:tcW w:type="dxa" w:w="3300"/>
            <w:tcMar>
              <w:top w:type="dxa" w:w="50"/>
              <w:left w:type="dxa" w:w="90"/>
              <w:bottom w:type="dxa" w:w="50"/>
              <w:right w:type="dxa" w:w="90"/>
            </w:tcMar>
          </w:tcPr>
          <w:p>
            <w:r>
              <w:rPr>
                <w:b w:val="false"/>
                <w:bCs w:val="false"/>
                <w:sz w:val="19"/>
                <w:szCs w:val="19"/>
              </w:rPr>
              <w:t xml:space="preserve">Research proposal (max. 5 pages)</w:t>
            </w:r>
          </w:p>
        </w:tc>
        <w:tc>
          <w:tcPr>
            <w:tcW w:type="dxa" w:w="5772"/>
            <w:tcMar>
              <w:top w:type="dxa" w:w="50"/>
              <w:left w:type="dxa" w:w="90"/>
              <w:bottom w:type="dxa" w:w="50"/>
              <w:right w:type="dxa" w:w="90"/>
            </w:tcMar>
          </w:tcPr>
          <w:p>
            <w:r>
              <w:rPr>
                <w:b w:val="false"/>
                <w:bCs w:val="false"/>
                <w:sz w:val="19"/>
                <w:szCs w:val="19"/>
              </w:rPr>
              <w:t xml:space="preserve">This exposé – coordinate with Prof. Chueh before submission (AvH requirement: independently developed, coordinated with the host)</w:t>
            </w:r>
          </w:p>
        </w:tc>
      </w:tr>
      <w:tr>
        <w:tc>
          <w:tcPr>
            <w:tcW w:type="dxa" w:w="3300"/>
            <w:tcMar>
              <w:top w:type="dxa" w:w="50"/>
              <w:left w:type="dxa" w:w="90"/>
              <w:bottom w:type="dxa" w:w="50"/>
              <w:right w:type="dxa" w:w="90"/>
            </w:tcMar>
          </w:tcPr>
          <w:p>
            <w:r>
              <w:rPr>
                <w:b w:val="false"/>
                <w:bCs w:val="false"/>
                <w:sz w:val="19"/>
                <w:szCs w:val="19"/>
              </w:rPr>
              <w:t xml:space="preserve">Complete list of publications</w:t>
            </w:r>
          </w:p>
        </w:tc>
        <w:tc>
          <w:tcPr>
            <w:tcW w:type="dxa" w:w="5772"/>
            <w:tcMar>
              <w:top w:type="dxa" w:w="50"/>
              <w:left w:type="dxa" w:w="90"/>
              <w:bottom w:type="dxa" w:w="50"/>
              <w:right w:type="dxa" w:w="90"/>
            </w:tcMar>
          </w:tcPr>
          <w:p>
            <w:r>
              <w:rPr>
                <w:b w:val="false"/>
                <w:bCs w:val="false"/>
                <w:sz w:val="19"/>
                <w:szCs w:val="19"/>
              </w:rPr>
              <w:t xml:space="preserve">Incl. conference contributions and patent application</w:t>
            </w:r>
          </w:p>
        </w:tc>
      </w:tr>
      <w:tr>
        <w:tc>
          <w:tcPr>
            <w:tcW w:type="dxa" w:w="3300"/>
            <w:tcMar>
              <w:top w:type="dxa" w:w="50"/>
              <w:left w:type="dxa" w:w="90"/>
              <w:bottom w:type="dxa" w:w="50"/>
              <w:right w:type="dxa" w:w="90"/>
            </w:tcMar>
          </w:tcPr>
          <w:p>
            <w:r>
              <w:rPr>
                <w:b w:val="false"/>
                <w:bCs w:val="false"/>
                <w:sz w:val="19"/>
                <w:szCs w:val="19"/>
              </w:rPr>
              <w:t xml:space="preserve">1–3 key publications with justification</w:t>
            </w:r>
          </w:p>
        </w:tc>
        <w:tc>
          <w:tcPr>
            <w:tcW w:type="dxa" w:w="5772"/>
            <w:tcMar>
              <w:top w:type="dxa" w:w="50"/>
              <w:left w:type="dxa" w:w="90"/>
              <w:bottom w:type="dxa" w:w="50"/>
              <w:right w:type="dxa" w:w="90"/>
            </w:tcMar>
          </w:tcPr>
          <w:p>
            <w:r>
              <w:rPr>
                <w:b w:val="false"/>
                <w:bCs w:val="false"/>
                <w:sz w:val="19"/>
                <w:szCs w:val="19"/>
              </w:rPr>
              <w:t xml:space="preserve">Recommendation: Chem. Rev. 2025 (command of the field, first author), Adv. Electron. Mater. 2026 (device innovation), Thin Solid Films 2024 (PLD methodology)</w:t>
            </w:r>
          </w:p>
        </w:tc>
      </w:tr>
      <w:tr>
        <w:tc>
          <w:tcPr>
            <w:tcW w:type="dxa" w:w="3300"/>
            <w:tcMar>
              <w:top w:type="dxa" w:w="50"/>
              <w:left w:type="dxa" w:w="90"/>
              <w:bottom w:type="dxa" w:w="50"/>
              <w:right w:type="dxa" w:w="90"/>
            </w:tcMar>
          </w:tcPr>
          <w:p>
            <w:r>
              <w:rPr>
                <w:b w:val="false"/>
                <w:bCs w:val="false"/>
                <w:sz w:val="19"/>
                <w:szCs w:val="19"/>
              </w:rPr>
              <w:t xml:space="preserve">Doctoral certificate / proof</w:t>
            </w:r>
          </w:p>
        </w:tc>
        <w:tc>
          <w:tcPr>
            <w:tcW w:type="dxa" w:w="5772"/>
            <w:tcMar>
              <w:top w:type="dxa" w:w="50"/>
              <w:left w:type="dxa" w:w="90"/>
              <w:bottom w:type="dxa" w:w="50"/>
              <w:right w:type="dxa" w:w="90"/>
            </w:tcMar>
          </w:tcPr>
          <w:p>
            <w:r>
              <w:rPr>
                <w:b w:val="false"/>
                <w:bCs w:val="false"/>
                <w:sz w:val="19"/>
                <w:szCs w:val="19"/>
              </w:rPr>
              <w:t xml:space="preserve">If applying before completion: declaration that the dissertation will be submitted within 6 months</w:t>
            </w:r>
          </w:p>
        </w:tc>
      </w:tr>
      <w:tr>
        <w:tc>
          <w:tcPr>
            <w:tcW w:type="dxa" w:w="3300"/>
            <w:tcMar>
              <w:top w:type="dxa" w:w="50"/>
              <w:left w:type="dxa" w:w="90"/>
              <w:bottom w:type="dxa" w:w="50"/>
              <w:right w:type="dxa" w:w="90"/>
            </w:tcMar>
          </w:tcPr>
          <w:p>
            <w:r>
              <w:rPr>
                <w:b w:val="false"/>
                <w:bCs w:val="false"/>
                <w:sz w:val="19"/>
                <w:szCs w:val="19"/>
              </w:rPr>
              <w:t xml:space="preserve">Host’s statement + confirmation of research place</w:t>
            </w:r>
          </w:p>
        </w:tc>
        <w:tc>
          <w:tcPr>
            <w:tcW w:type="dxa" w:w="5772"/>
            <w:tcMar>
              <w:top w:type="dxa" w:w="50"/>
              <w:left w:type="dxa" w:w="90"/>
              <w:bottom w:type="dxa" w:w="50"/>
              <w:right w:type="dxa" w:w="90"/>
            </w:tcMar>
          </w:tcPr>
          <w:p>
            <w:r>
              <w:rPr>
                <w:b w:val="false"/>
                <w:bCs w:val="false"/>
                <w:sz w:val="19"/>
                <w:szCs w:val="19"/>
              </w:rPr>
              <w:t xml:space="preserve">Prof. Chueh uploads directly to the AvH portal; raise the host contribution (approx. 1/3 of the fellowship; USA is a contributing country) early</w:t>
            </w:r>
          </w:p>
        </w:tc>
      </w:tr>
      <w:tr>
        <w:tc>
          <w:tcPr>
            <w:tcW w:type="dxa" w:w="3300"/>
            <w:tcMar>
              <w:top w:type="dxa" w:w="50"/>
              <w:left w:type="dxa" w:w="90"/>
              <w:bottom w:type="dxa" w:w="50"/>
              <w:right w:type="dxa" w:w="90"/>
            </w:tcMar>
          </w:tcPr>
          <w:p>
            <w:r>
              <w:rPr>
                <w:b w:val="false"/>
                <w:bCs w:val="false"/>
                <w:sz w:val="19"/>
                <w:szCs w:val="19"/>
              </w:rPr>
              <w:t xml:space="preserve">Two expert reviews</w:t>
            </w:r>
          </w:p>
        </w:tc>
        <w:tc>
          <w:tcPr>
            <w:tcW w:type="dxa" w:w="5772"/>
            <w:tcMar>
              <w:top w:type="dxa" w:w="50"/>
              <w:left w:type="dxa" w:w="90"/>
              <w:bottom w:type="dxa" w:w="50"/>
              <w:right w:type="dxa" w:w="90"/>
            </w:tcMar>
          </w:tcPr>
          <w:p>
            <w:r>
              <w:rPr>
                <w:b w:val="false"/>
                <w:bCs w:val="false"/>
                <w:sz w:val="19"/>
                <w:szCs w:val="19"/>
              </w:rPr>
              <w:t xml:space="preserve">Recommendation: Prof. R. Dittmann (doctoral supervisor) + one external, preferably international referee</w:t>
            </w:r>
          </w:p>
        </w:tc>
      </w:tr>
    </w:tbl>
    <w:p>
      <w:pPr>
        <w:spacing w:after="120"/>
      </w:pPr>
      <w:r>
        <w:rPr>
          <w:i/>
          <w:iCs/>
          <w:sz w:val="18"/>
          <w:szCs w:val="18"/>
        </w:rPr>
        <w:t xml:space="preserve">Fellowship benefits (as of 2026): base fellowship € 2,187.50/month (minus host contribution) + foreign allowance USA + research cost allowance € 312.50/month + travel lump sums; afterwards optionally the Feodor Lynen Return Fellowship (up to 12 months, € 3,600/month). Applications accepted at any time; selection meetings February/June/October; success rate approx. 40 %.</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2026-08-09T17:57:15.386Z</dcterms:created>
  <dcterms:modified xsi:type="dcterms:W3CDTF">2026-08-09T17:57:15.388Z</dcterms:modified>
</cp:coreProperties>
</file>

<file path=docProps/custom.xml><?xml version="1.0" encoding="utf-8"?>
<Properties xmlns="http://schemas.openxmlformats.org/officeDocument/2006/custom-properties" xmlns:vt="http://schemas.openxmlformats.org/officeDocument/2006/docPropsVTypes"/>
</file>