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beyond the perovskites: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the applicant has grown epitaxial YBCO films with continuously tuned chain-oxygen content δ – the one oxide in which switching between two noble Au electrodes is already established and replicated – measured the site-resolved O-K/Cu-L covalency scale across the δ-series</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