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beyond the Perovskites: the YBa2Cu3O7-δ Chain-Oxygen Series under Noble Au Electrodes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w:t>
      </w:r>
    </w:p>
    <w:p>
      <w:pPr>
        <w:spacing w:after="120"/>
      </w:pPr>
      <w:r>
        <w:rPr>
          <w:b/>
          <w:bCs/>
        </w:rPr>
        <w:t xml:space="preserve">WP2 – Devices and switching characterisation (months 8–18)</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[21]. The choice of YBCO is deliberately map-strategic: it adds the cuprate charge-transfer bonding class and a second structure family to the descriptor map, testing whether the covalency–EV–switching correlation generalises beyond the perovskites – the decisive question for the map’s predictive claim.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 site-resolved covalency scale for noble-electrode YBa2Cu3O7-δ memristive devices].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2026-08-09T17:57:15.431Z</dcterms:created>
  <dcterms:modified xsi:type="dcterms:W3CDTF">2026-08-09T17:57:15.431Z</dcterms:modified>
</cp:coreProperties>
</file>

<file path=docProps/custom.xml><?xml version="1.0" encoding="utf-8"?>
<Properties xmlns="http://schemas.openxmlformats.org/officeDocument/2006/custom-properties" xmlns:vt="http://schemas.openxmlformats.org/officeDocument/2006/docPropsVTypes"/>
</file>