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w:t>
      </w:r>
      <w:r>
        <w:rPr>
          <w:rFonts w:ascii="Arial" w:hAnsi="Arial" w:cs="Arial"/>
          <w:sz w:val="21"/>
          <w:szCs w:val="21"/>
        </w:rPr>
        <w:t xml:space="preserve">; Pr1-xCaxMnO3 between noble Pt contacts [36]; the cobaltite end member SrCoO2.5 under Au [37])</w:t>
      </w:r>
      <w:r>
        <w:rPr>
          <w:rFonts w:ascii="Arial" w:hAnsi="Arial" w:cs="Arial"/>
          <w:sz w:val="21"/>
          <w:szCs w:val="21"/>
        </w:rPr>
        <w:t xml:space="preserve">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600261410"/>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600261410"/>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600261410"/>
        <w:rPr>
          <w:rFonts w:ascii="Arial" w:hAnsi="Arial" w:cs="Arial"/>
          <w:sz w:val="18"/>
          <w:szCs w:val="18"/>
        </w:rPr>
      </w:pPr>
      <w:r>
        <w:rPr>
          <w:rFonts w:ascii="Arial" w:hAnsi="Arial" w:cs="Arial"/>
          <w:sz w:val="18"/>
          <w:szCs w:val="18"/>
        </w:rPr>
        <w:t xml:space="preserve">[38] C. Acha, M. J. Rozenberg, Journal of Physics: Condensed Matter 21, 045702 (2009).</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