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Along the descriptor chain the evidence is complementary but nowhere complete: canonical covalency-vs-doping spectroscopy exists for the ferrite and manganite series [14], a quantitative EV(x) relation with explicit covalency reasoning only for the ferrites [13, 34], and stoichiometry-controlled switching at a noble Pt interface only for the cation stoichiometry of SrTiO3 [22] – no system combines all three.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that switches </w:t>
      </w:r>
      <w:r>
        <w:rPr>
          <w:rFonts w:ascii="Arial" w:hAnsi="Arial" w:cs="Arial"/>
          <w:i/>
          <w:iCs/>
          <w:sz w:val="21"/>
          <w:szCs w:val="21"/>
        </w:rPr>
        <w:t>intrinsically</w:t>
      </w:r>
      <w:r>
        <w:rPr>
          <w:rFonts w:ascii="Arial" w:hAnsi="Arial" w:cs="Arial"/>
          <w:sz w:val="21"/>
          <w:szCs w:val="21"/>
        </w:rPr>
        <w:t xml:space="preserve"> under gas-tight, photoelectron-transparent graphene electrodes – the oxygen balance stays inside the oxide, excluding the reactive-electrode confounder that dominates many perovskite devices – with an experimentally measured XAS covalency scale correlated against the switching metrics of the same cells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building on the intrinsic-switching descriptor methodology (graphene-sealed devices + XAS covalency scale) that I de-risked on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during my Feodor Lynen fellowship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established the O-K/Fe-L covalency scale across it at SSRL, and correlated it with intrinsic switching in graphene-sealed devices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intrinsic memristive switching: epitaxial SrTi</w:t>
            </w:r>
            <w:r>
              <w:rPr>
                <w:rFonts w:ascii="Arial" w:eastAsia="Times New Roman" w:hAnsi="Arial" w:cs="Arial"/>
                <w:sz w:val="19"/>
                <w:szCs w:val="19"/>
                <w:vertAlign w:val="subscript"/>
              </w:rPr>
              <w:t>1-x</w:t>
            </w:r>
            <w:r>
              <w:rPr>
                <w:rFonts w:ascii="Arial" w:eastAsia="Times New Roman" w:hAnsi="Arial" w:cs="Arial"/>
                <w:sz w:val="19"/>
                <w:szCs w:val="19"/>
              </w:rPr>
              <w:t>Fe</w:t>
            </w:r>
            <w:r>
              <w:rPr>
                <w:rFonts w:ascii="Arial" w:eastAsia="Times New Roman" w:hAnsi="Arial" w:cs="Arial"/>
                <w:sz w:val="19"/>
                <w:szCs w:val="19"/>
                <w:vertAlign w:val="subscript"/>
              </w:rPr>
              <w:t>x</w:t>
            </w:r>
            <w:r>
              <w:rPr>
                <w:rFonts w:ascii="Arial" w:eastAsia="Times New Roman" w:hAnsi="Arial" w:cs="Arial"/>
                <w:sz w:val="19"/>
                <w:szCs w:val="19"/>
              </w:rPr>
              <w:t>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with graphene-sealed devices, XAS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P1.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memristive devices],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