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13E8F" w14:textId="77777777" w:rsidR="00CB7745" w:rsidRDefault="00CB7745">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1E09F487" w14:textId="77777777" w:rsidR="00CB7745" w:rsidRDefault="00CB7745">
      <w:pPr>
        <w:pStyle w:val="NormalWeb"/>
        <w:rPr>
          <w:rFonts w:ascii="Arial" w:hAnsi="Arial" w:cs="Arial"/>
          <w:sz w:val="21"/>
          <w:szCs w:val="21"/>
        </w:rPr>
      </w:pPr>
      <w:r>
        <w:rPr>
          <w:rFonts w:ascii="Arial" w:hAnsi="Arial" w:cs="Arial"/>
          <w:sz w:val="21"/>
          <w:szCs w:val="21"/>
        </w:rPr>
        <w:t> </w:t>
      </w:r>
    </w:p>
    <w:p w14:paraId="7EF6AD31" w14:textId="77777777" w:rsidR="00CB7745" w:rsidRDefault="00CB7745">
      <w:pPr>
        <w:pStyle w:val="NormalWeb"/>
        <w:rPr>
          <w:rFonts w:ascii="Arial" w:hAnsi="Arial" w:cs="Arial"/>
          <w:sz w:val="21"/>
          <w:szCs w:val="21"/>
        </w:rPr>
      </w:pPr>
      <w:r>
        <w:rPr>
          <w:rFonts w:ascii="Arial" w:hAnsi="Arial" w:cs="Arial"/>
          <w:sz w:val="21"/>
          <w:szCs w:val="21"/>
        </w:rPr>
        <w:t> </w:t>
      </w:r>
    </w:p>
    <w:p w14:paraId="585F1BF2" w14:textId="77777777" w:rsidR="00CB7745" w:rsidRDefault="00CB7745">
      <w:pPr>
        <w:pStyle w:val="NormalWeb"/>
        <w:rPr>
          <w:rFonts w:ascii="Arial" w:hAnsi="Arial" w:cs="Arial"/>
          <w:sz w:val="21"/>
          <w:szCs w:val="21"/>
        </w:rPr>
      </w:pPr>
      <w:r>
        <w:rPr>
          <w:rFonts w:ascii="Arial" w:hAnsi="Arial" w:cs="Arial"/>
          <w:sz w:val="21"/>
          <w:szCs w:val="21"/>
        </w:rPr>
        <w:t> </w:t>
      </w:r>
    </w:p>
    <w:p w14:paraId="53C00986" w14:textId="77777777" w:rsidR="00CB7745" w:rsidRDefault="00CB7745">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093A4821" w14:textId="77777777" w:rsidR="00CB7745" w:rsidRDefault="00CB7745">
      <w:pPr>
        <w:pStyle w:val="NormalWeb"/>
        <w:rPr>
          <w:rFonts w:ascii="Arial" w:hAnsi="Arial" w:cs="Arial"/>
          <w:sz w:val="21"/>
          <w:szCs w:val="21"/>
        </w:rPr>
      </w:pPr>
      <w:r>
        <w:rPr>
          <w:rFonts w:ascii="Arial" w:hAnsi="Arial" w:cs="Arial"/>
          <w:sz w:val="21"/>
          <w:szCs w:val="21"/>
        </w:rPr>
        <w:t> </w:t>
      </w:r>
    </w:p>
    <w:p w14:paraId="1BEDC36D" w14:textId="77777777" w:rsidR="00CB7745" w:rsidRDefault="00CB7745">
      <w:pPr>
        <w:pStyle w:val="center"/>
        <w:spacing w:before="0" w:beforeAutospacing="0" w:after="140"/>
        <w:rPr>
          <w:rFonts w:ascii="Arial" w:hAnsi="Arial" w:cs="Arial"/>
          <w:sz w:val="26"/>
          <w:szCs w:val="26"/>
        </w:rPr>
      </w:pPr>
      <w:r>
        <w:rPr>
          <w:rFonts w:ascii="Arial" w:hAnsi="Arial" w:cs="Arial"/>
          <w:b/>
          <w:bCs/>
          <w:sz w:val="26"/>
          <w:szCs w:val="26"/>
        </w:rPr>
        <w:t>Covalency Descriptors for Interstitial-Oxygen Memristive Switching: La</w:t>
      </w:r>
      <w:r>
        <w:rPr>
          <w:rFonts w:ascii="Arial" w:hAnsi="Arial" w:cs="Arial"/>
          <w:b/>
          <w:bCs/>
          <w:sz w:val="26"/>
          <w:szCs w:val="26"/>
          <w:vertAlign w:val="subscript"/>
        </w:rPr>
        <w:t>2</w:t>
      </w:r>
      <w:r>
        <w:rPr>
          <w:rFonts w:ascii="Arial" w:hAnsi="Arial" w:cs="Arial"/>
          <w:b/>
          <w:bCs/>
          <w:sz w:val="26"/>
          <w:szCs w:val="26"/>
        </w:rPr>
        <w:t>NiO</w:t>
      </w:r>
      <w:r>
        <w:rPr>
          <w:rFonts w:ascii="Arial" w:hAnsi="Arial" w:cs="Arial"/>
          <w:b/>
          <w:bCs/>
          <w:sz w:val="26"/>
          <w:szCs w:val="26"/>
          <w:vertAlign w:val="subscript"/>
        </w:rPr>
        <w:t>4+δ</w:t>
      </w:r>
      <w:r>
        <w:rPr>
          <w:rFonts w:ascii="Arial" w:hAnsi="Arial" w:cs="Arial"/>
          <w:b/>
          <w:bCs/>
          <w:sz w:val="26"/>
          <w:szCs w:val="26"/>
        </w:rPr>
        <w:t xml:space="preserve"> and La</w:t>
      </w:r>
      <w:r>
        <w:rPr>
          <w:rFonts w:ascii="Arial" w:hAnsi="Arial" w:cs="Arial"/>
          <w:b/>
          <w:bCs/>
          <w:sz w:val="26"/>
          <w:szCs w:val="26"/>
          <w:vertAlign w:val="subscript"/>
        </w:rPr>
        <w:t>2-x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NiO</w:t>
      </w:r>
      <w:r>
        <w:rPr>
          <w:rFonts w:ascii="Arial" w:hAnsi="Arial" w:cs="Arial"/>
          <w:b/>
          <w:bCs/>
          <w:sz w:val="26"/>
          <w:szCs w:val="26"/>
          <w:vertAlign w:val="subscript"/>
        </w:rPr>
        <w:t>4</w:t>
      </w:r>
    </w:p>
    <w:p w14:paraId="0B6EF13C" w14:textId="77777777" w:rsidR="00CB7745" w:rsidRDefault="00CB7745">
      <w:pPr>
        <w:pStyle w:val="NormalWeb"/>
        <w:rPr>
          <w:rFonts w:ascii="Arial" w:hAnsi="Arial" w:cs="Arial"/>
          <w:sz w:val="21"/>
          <w:szCs w:val="21"/>
        </w:rPr>
      </w:pPr>
      <w:r>
        <w:rPr>
          <w:rFonts w:ascii="Arial" w:hAnsi="Arial" w:cs="Arial"/>
          <w:sz w:val="21"/>
          <w:szCs w:val="21"/>
        </w:rPr>
        <w:t> </w:t>
      </w:r>
    </w:p>
    <w:p w14:paraId="3A294CF6" w14:textId="77777777" w:rsidR="00CB7745" w:rsidRDefault="00CB7745">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53C18AB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7A3BC1"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33268"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3AB41B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F3342B"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253D7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7D05DA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A4814"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FBEED3"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5F18AC9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A6CC0"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7AE7BB"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48239F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A173B8"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13E65"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7933375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47AA5"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D1C304"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3CDEB1A3" w14:textId="77777777" w:rsidR="00CB7745" w:rsidRDefault="00CB7745">
      <w:pPr>
        <w:pStyle w:val="NormalWeb"/>
        <w:rPr>
          <w:rFonts w:ascii="Arial" w:hAnsi="Arial" w:cs="Arial"/>
          <w:sz w:val="21"/>
          <w:szCs w:val="21"/>
        </w:rPr>
      </w:pPr>
      <w:r>
        <w:rPr>
          <w:rFonts w:ascii="Arial" w:hAnsi="Arial" w:cs="Arial"/>
          <w:sz w:val="21"/>
          <w:szCs w:val="21"/>
        </w:rPr>
        <w:t> </w:t>
      </w:r>
    </w:p>
    <w:p w14:paraId="46519A7F" w14:textId="77777777" w:rsidR="00CB7745" w:rsidRDefault="00CB7745">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43A0E3A3" w14:textId="77777777" w:rsidR="00CB7745" w:rsidRDefault="00CB7745">
      <w:pPr>
        <w:pStyle w:val="Heading1"/>
        <w:pageBreakBefore/>
        <w:rPr>
          <w:rFonts w:ascii="Arial" w:eastAsia="Times New Roman" w:hAnsi="Arial" w:cs="Arial"/>
        </w:rPr>
      </w:pPr>
      <w:r>
        <w:rPr>
          <w:rFonts w:ascii="Arial" w:eastAsia="Times New Roman" w:hAnsi="Arial" w:cs="Arial"/>
        </w:rPr>
        <w:lastRenderedPageBreak/>
        <w:t>Research Proposal (Exposé)</w:t>
      </w:r>
    </w:p>
    <w:p w14:paraId="0E49B477" w14:textId="77777777" w:rsidR="00CB7745" w:rsidRDefault="00CB7745">
      <w:pPr>
        <w:pStyle w:val="Heading2"/>
        <w:rPr>
          <w:rFonts w:ascii="Arial" w:eastAsia="Times New Roman" w:hAnsi="Arial" w:cs="Arial"/>
        </w:rPr>
      </w:pPr>
      <w:r>
        <w:rPr>
          <w:rFonts w:ascii="Arial" w:eastAsia="Times New Roman" w:hAnsi="Arial" w:cs="Arial"/>
        </w:rPr>
        <w:t>1  Research question and scientific significance</w:t>
      </w:r>
    </w:p>
    <w:p w14:paraId="3C9D0150" w14:textId="77777777" w:rsidR="00CB7745" w:rsidRDefault="00CB7745">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Ruddlesden–Popper nickelate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the one oxide family whose oxygen reservoir lies </w:t>
      </w:r>
      <w:r>
        <w:rPr>
          <w:rFonts w:ascii="Arial" w:hAnsi="Arial" w:cs="Arial"/>
          <w:i/>
          <w:iCs/>
          <w:sz w:val="21"/>
          <w:szCs w:val="21"/>
        </w:rPr>
        <w:t>inside</w:t>
      </w:r>
      <w:r>
        <w:rPr>
          <w:rFonts w:ascii="Arial" w:hAnsi="Arial" w:cs="Arial"/>
          <w:sz w:val="21"/>
          <w:szCs w:val="21"/>
        </w:rPr>
        <w:t xml:space="preserve"> the material by construction, in the form of mobile interstitial oxygen.</w:t>
      </w:r>
    </w:p>
    <w:p w14:paraId="6E4829DC" w14:textId="77777777" w:rsidR="00CB7745" w:rsidRDefault="00CB7745">
      <w:pPr>
        <w:pStyle w:val="NormalWeb"/>
        <w:rPr>
          <w:rFonts w:ascii="Arial" w:hAnsi="Arial" w:cs="Arial"/>
          <w:sz w:val="21"/>
          <w:szCs w:val="21"/>
        </w:rPr>
      </w:pPr>
      <w:r>
        <w:rPr>
          <w:rFonts w:ascii="Arial" w:hAnsi="Arial" w:cs="Arial"/>
          <w:sz w:val="21"/>
          <w:szCs w:val="21"/>
        </w:rPr>
        <w:t>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offers a unique twist on the descriptor idea. </w:t>
      </w:r>
      <w:r>
        <w:rPr>
          <w:rFonts w:ascii="Arial" w:hAnsi="Arial" w:cs="Arial"/>
          <w:b/>
          <w:bCs/>
          <w:sz w:val="21"/>
          <w:szCs w:val="21"/>
        </w:rPr>
        <w:t>(i) Two independent composition knobs:</w:t>
      </w:r>
      <w:r>
        <w:rPr>
          <w:rFonts w:ascii="Arial" w:hAnsi="Arial" w:cs="Arial"/>
          <w:sz w:val="21"/>
          <w:szCs w:val="21"/>
        </w:rPr>
        <w:t xml:space="preserve"> the interstitial oxygen content δ and Sr substitution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both dope holes into the Ni–O planes. The electronic structure of the Sr series is canonical ligand-hole physics – polarisation-dependent O-1s X-ray absorption by Kuiper, Sawatzky and co-workers showed that the doped holes carry dominant O-2p character [9] – and δ is quantifiable spectroscopically [11], so both descriptor axes are measurable. The energetic link, however, is unwritten: no published relation connects the ligand-hole density (covalency) to the interstitial formation energy as a function of (δ, x) – the project establishes the interstitial analogue of the EV–covalency descriptor. </w:t>
      </w:r>
      <w:r>
        <w:rPr>
          <w:rFonts w:ascii="Arial" w:hAnsi="Arial" w:cs="Arial"/>
          <w:b/>
          <w:bCs/>
          <w:sz w:val="21"/>
          <w:szCs w:val="21"/>
        </w:rPr>
        <w:t>(ii) Switching is demonstrated, including a composition series:</w:t>
      </w:r>
      <w:r>
        <w:rPr>
          <w:rFonts w:ascii="Arial" w:hAnsi="Arial" w:cs="Arial"/>
          <w:sz w:val="21"/>
          <w:szCs w:val="21"/>
        </w:rPr>
        <w:t xml:space="preserve">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devices switch forming-free and analogue [10, 24]; a δ-series showed that the oxygen content itself selects the switching mechanism – filamentary for oxygen-poor, interface-type for oxygen-rich films [11]; and operando XANES has proven the valence-change mechanism in the nickelate [12]. </w:t>
      </w:r>
      <w:r>
        <w:rPr>
          <w:rFonts w:ascii="Arial" w:hAnsi="Arial" w:cs="Arial"/>
          <w:b/>
          <w:bCs/>
          <w:sz w:val="21"/>
          <w:szCs w:val="21"/>
        </w:rPr>
        <w:t>(iii) The decisive open question – and the high-gain core of this project:</w:t>
      </w:r>
      <w:r>
        <w:rPr>
          <w:rFonts w:ascii="Arial" w:hAnsi="Arial" w:cs="Arial"/>
          <w:sz w:val="21"/>
          <w:szCs w:val="21"/>
        </w:rPr>
        <w:t xml:space="preserve"> all published forming-free analogue thin-film devices rely on a reactive TiN/TiN</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y</w:t>
      </w:r>
      <w:r>
        <w:rPr>
          <w:rFonts w:ascii="Arial" w:hAnsi="Arial" w:cs="Arial"/>
          <w:sz w:val="21"/>
          <w:szCs w:val="21"/>
        </w:rPr>
        <w:t xml:space="preserve"> interlayer as the oxygen sink – the analogue of the reactive-electrode dominance known from perovskite devices [17, 18]; switching under inert or graphene electrodes – genuinely </w:t>
      </w:r>
      <w:r>
        <w:rPr>
          <w:rFonts w:ascii="Arial" w:hAnsi="Arial" w:cs="Arial"/>
          <w:i/>
          <w:iCs/>
          <w:sz w:val="21"/>
          <w:szCs w:val="21"/>
        </w:rPr>
        <w:t>interstitial-internal</w:t>
      </w:r>
      <w:r>
        <w:rPr>
          <w:rFonts w:ascii="Arial" w:hAnsi="Arial" w:cs="Arial"/>
          <w:sz w:val="21"/>
          <w:szCs w:val="21"/>
        </w:rPr>
        <w:t xml:space="preserve"> switching – has never been demonstrated in this planar thin-film geometry (my systematic literature analysis; TiN-free memristance is so far reported only for all-oxide bilayer and single-crystal junction geometries [23]). If the interstitial reservoir can absorb and release the switched oxygen internally,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becomes the first memristor whose oxygen balance is intrinsic </w:t>
      </w:r>
      <w:r>
        <w:rPr>
          <w:rFonts w:ascii="Arial" w:hAnsi="Arial" w:cs="Arial"/>
          <w:i/>
          <w:iCs/>
          <w:sz w:val="21"/>
          <w:szCs w:val="21"/>
        </w:rPr>
        <w:t>by construction</w:t>
      </w:r>
      <w:r>
        <w:rPr>
          <w:rFonts w:ascii="Arial" w:hAnsi="Arial" w:cs="Arial"/>
          <w:sz w:val="21"/>
          <w:szCs w:val="21"/>
        </w:rPr>
        <w:t>, with photoelectron-transparent, gas-tight graphene electrodes [13, 14] providing both the seal and the spectroscopic window. Independent support for interstitial-oxygen resistive switching comes from the giant, oxygen-intercalation-driven switching recently demonstrated in a related Ruddlesden–Popper nickelate [25]. My central hypothesis: the switching figures of merit are set by the measurable descriptor pair (covalency, δ) of the nickelate itself, not by electrode chemistry. The risk is managed by a decision gate (month 12): if inert-electrode switching does not materialise, the established TiN geometry [10, 11] combined with spectroscopic isolation of the nickelate contribution [12] carries the descriptor study to completion – the correlation question remains answerable either way.</w:t>
      </w:r>
    </w:p>
    <w:p w14:paraId="617AC7EB" w14:textId="77777777" w:rsidR="00CB7745" w:rsidRDefault="00CB7745">
      <w:pPr>
        <w:pStyle w:val="Heading2"/>
        <w:rPr>
          <w:rFonts w:ascii="Arial" w:eastAsia="Times New Roman" w:hAnsi="Arial" w:cs="Arial"/>
        </w:rPr>
      </w:pPr>
      <w:r>
        <w:rPr>
          <w:rFonts w:ascii="Arial" w:eastAsia="Times New Roman" w:hAnsi="Arial" w:cs="Arial"/>
        </w:rPr>
        <w:t>2  Why the Chueh group at Stanford is the ideal place</w:t>
      </w:r>
    </w:p>
    <w:p w14:paraId="3E546AE6" w14:textId="77777777" w:rsidR="00CB7745" w:rsidRDefault="00CB7745">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[19–21]. The group’s seminal work on the redox activity of oxygen anions in oxygen-deficient perovskites [20]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[21]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795BBF1" w14:textId="77777777" w:rsidR="00CB7745" w:rsidRDefault="00CB7745">
      <w:pPr>
        <w:pStyle w:val="Heading2"/>
        <w:rPr>
          <w:rFonts w:ascii="Arial" w:eastAsia="Times New Roman" w:hAnsi="Arial" w:cs="Arial"/>
        </w:rPr>
      </w:pPr>
      <w:r>
        <w:rPr>
          <w:rFonts w:ascii="Arial" w:eastAsia="Times New Roman" w:hAnsi="Arial" w:cs="Arial"/>
        </w:rPr>
        <w:t>3  Work programme (24 months)</w:t>
      </w:r>
    </w:p>
    <w:p w14:paraId="5657E3D7" w14:textId="77777777" w:rsidR="00CB7745" w:rsidRDefault="00CB7745">
      <w:pPr>
        <w:pStyle w:val="Heading3"/>
        <w:rPr>
          <w:rFonts w:ascii="Arial" w:eastAsia="Times New Roman" w:hAnsi="Arial" w:cs="Arial"/>
        </w:rPr>
      </w:pPr>
      <w:r>
        <w:rPr>
          <w:rFonts w:ascii="Arial" w:eastAsia="Times New Roman" w:hAnsi="Arial" w:cs="Arial"/>
        </w:rPr>
        <w:t xml:space="preserve">WP1 – Synthesis and descriptor measurement (months 1–10)</w:t>
      </w:r>
    </w:p>
    <w:p w14:paraId="04CCA067" w14:textId="77777777" w:rsidR="00CB7745" w:rsidRDefault="00CB7745">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films on SrTiO</w:t>
      </w:r>
      <w:r>
        <w:rPr>
          <w:rFonts w:ascii="Arial" w:hAnsi="Arial" w:cs="Arial"/>
          <w:sz w:val="21"/>
          <w:szCs w:val="21"/>
          <w:vertAlign w:val="subscript"/>
        </w:rPr>
        <w:t>3</w:t>
      </w:r>
      <w:r>
        <w:rPr>
          <w:rFonts w:ascii="Arial" w:hAnsi="Arial" w:cs="Arial"/>
          <w:sz w:val="21"/>
          <w:szCs w:val="21"/>
        </w:rPr>
        <w:t>/Nb:SrTiO</w:t>
      </w:r>
      <w:r>
        <w:rPr>
          <w:rFonts w:ascii="Arial" w:hAnsi="Arial" w:cs="Arial"/>
          <w:sz w:val="21"/>
          <w:szCs w:val="21"/>
          <w:vertAlign w:val="subscript"/>
        </w:rPr>
        <w:t>3</w:t>
      </w:r>
      <w:r>
        <w:rPr>
          <w:rFonts w:ascii="Arial" w:hAnsi="Arial" w:cs="Arial"/>
          <w:sz w:val="21"/>
          <w:szCs w:val="21"/>
        </w:rPr>
        <w:t>; δ-control via post-annealing protocols (Ar vs. O</w:t>
      </w:r>
      <w:r>
        <w:rPr>
          <w:rFonts w:ascii="Arial" w:hAnsi="Arial" w:cs="Arial"/>
          <w:sz w:val="21"/>
          <w:szCs w:val="21"/>
          <w:vertAlign w:val="subscript"/>
        </w:rPr>
        <w:t>2</w:t>
      </w:r>
      <w:r>
        <w:rPr>
          <w:rFonts w:ascii="Arial" w:hAnsi="Arial" w:cs="Arial"/>
          <w:sz w:val="21"/>
          <w:szCs w:val="21"/>
        </w:rPr>
        <w:t>), quantified spectroscopically following [11]; in addition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series (x = 0–0.4) as the second descriptor axis; structural validation (XRD, AFM), stoichiometry (XPS). First XAS campaign at SSRL: Ni-L</w:t>
      </w:r>
      <w:r>
        <w:rPr>
          <w:rFonts w:ascii="Arial" w:hAnsi="Arial" w:cs="Arial"/>
          <w:sz w:val="21"/>
          <w:szCs w:val="21"/>
          <w:vertAlign w:val="subscript"/>
        </w:rPr>
        <w:t>2,3</w:t>
      </w:r>
      <w:r>
        <w:rPr>
          <w:rFonts w:ascii="Arial" w:hAnsi="Arial" w:cs="Arial"/>
          <w:sz w:val="21"/>
          <w:szCs w:val="21"/>
        </w:rPr>
        <w:t xml:space="preserve"> and O-K analysis following [9, 15, 16] for every (δ, x) point → experimental descriptor set (covalency, hole character, interstitial content). </w:t>
      </w:r>
      <w:r>
        <w:rPr>
          <w:rFonts w:ascii="Arial" w:hAnsi="Arial" w:cs="Arial"/>
          <w:i/>
          <w:iCs/>
          <w:sz w:val="21"/>
          <w:szCs w:val="21"/>
        </w:rPr>
        <w:t>Milestone M1 (month 10): validated sample matrix with complete descriptor set.</w:t>
      </w:r>
    </w:p>
    <w:p w14:paraId="3932351C" w14:textId="77777777" w:rsidR="00CB7745" w:rsidRDefault="00CB7745">
      <w:pPr>
        <w:pStyle w:val="Heading3"/>
        <w:rPr>
          <w:rFonts w:ascii="Arial" w:eastAsia="Times New Roman" w:hAnsi="Arial" w:cs="Arial"/>
        </w:rPr>
      </w:pPr>
      <w:r>
        <w:rPr>
          <w:rFonts w:ascii="Arial" w:eastAsia="Times New Roman" w:hAnsi="Arial" w:cs="Arial"/>
        </w:rPr>
        <w:t>WP2 – Devices: from the TiN benchmark to intrinsic switching (months 6–18)</w:t>
      </w:r>
    </w:p>
    <w:p w14:paraId="562C34A8" w14:textId="77777777" w:rsidR="00CB7745" w:rsidRDefault="00CB7745">
      <w:pPr>
        <w:pStyle w:val="NormalWeb"/>
        <w:rPr>
          <w:rFonts w:ascii="Arial" w:hAnsi="Arial" w:cs="Arial"/>
          <w:sz w:val="21"/>
          <w:szCs w:val="21"/>
        </w:rPr>
      </w:pPr>
      <w:r>
        <w:rPr>
          <w:rFonts w:ascii="Arial" w:hAnsi="Arial" w:cs="Arial"/>
          <w:sz w:val="21"/>
          <w:szCs w:val="21"/>
        </w:rPr>
        <w:t xml:space="preserve">Three electrode flavours, photolithographically processed with ≥ 30 nominally identical cells each: (i) the established TiN geometry as benchmark [10, 11]; (ii) inert Pt electrodes; (iii) graphene-sealed cells – gas-tight and photoelectron-transparent [13, 14] – testing whether the interstitial reservoir sustains switching without any reactive sink. </w:t>
      </w:r>
      <w:r>
        <w:rPr>
          <w:rFonts w:ascii="Arial" w:hAnsi="Arial" w:cs="Arial"/>
          <w:b/>
          <w:bCs/>
          <w:sz w:val="21"/>
          <w:szCs w:val="21"/>
        </w:rPr>
        <w:t>Decision gate (month 12):</w:t>
      </w:r>
      <w:r>
        <w:rPr>
          <w:rFonts w:ascii="Arial" w:hAnsi="Arial" w:cs="Arial"/>
          <w:sz w:val="21"/>
          <w:szCs w:val="21"/>
        </w:rPr>
        <w:t xml:space="preserve"> continue with the intrinsic geometries if switching is demonstrated, otherwise carry the descriptor correlation on the benchmark geometry with spectroscopic isolation of the nickelate contribution [12]. Quasistatic and pulsed characterisation under the statistics protocol established in my doctorate. </w:t>
      </w:r>
      <w:r>
        <w:rPr>
          <w:rFonts w:ascii="Arial" w:hAnsi="Arial" w:cs="Arial"/>
          <w:i/>
          <w:iCs/>
          <w:sz w:val="21"/>
          <w:szCs w:val="21"/>
        </w:rPr>
        <w:t>Milestone M2 (month 18): switching figures of merit across the (δ, x) matrix.</w:t>
      </w:r>
    </w:p>
    <w:p w14:paraId="78ED07CA" w14:textId="77777777" w:rsidR="00CB7745" w:rsidRDefault="00CB7745">
      <w:pPr>
        <w:pStyle w:val="Heading3"/>
        <w:rPr>
          <w:rFonts w:ascii="Arial" w:eastAsia="Times New Roman" w:hAnsi="Arial" w:cs="Arial"/>
        </w:rPr>
      </w:pPr>
      <w:r>
        <w:rPr>
          <w:rFonts w:ascii="Arial" w:eastAsia="Times New Roman" w:hAnsi="Arial" w:cs="Arial"/>
        </w:rPr>
        <w:t xml:space="preserve">WP3 – Correlation, operando validation and publication (months 16–24)</w:t>
      </w:r>
    </w:p>
    <w:p w14:paraId="3850CCC4" w14:textId="77777777" w:rsidR="00CB7745" w:rsidRDefault="00CB7745">
      <w:pPr>
        <w:pStyle w:val="NormalWeb"/>
        <w:rPr>
          <w:rFonts w:ascii="Arial" w:hAnsi="Arial" w:cs="Arial"/>
          <w:sz w:val="21"/>
          <w:szCs w:val="21"/>
        </w:rPr>
      </w:pPr>
      <w:r>
        <w:rPr>
          <w:rFonts w:ascii="Arial" w:hAnsi="Arial" w:cs="Arial"/>
          <w:sz w:val="21"/>
          <w:szCs w:val="21"/>
        </w:rPr>
        <w:t xml:space="preserve">Correlation analysis descriptors (covalency, δ) ↔ switching metrics, referenced against generic descriptor models [5–8]. Second SSRL campaign: XAS on switched cells (ex-situ before/after, operando through graphene if the intrinsic geometry succeeds) to verify oxygen redistribution within the nickelate. Publication of the first descriptor-resolved study of interstitial-oxygen memristive switching; dataset released following FAIR principles. </w:t>
      </w:r>
      <w:r>
        <w:rPr>
          <w:rFonts w:ascii="Arial" w:hAnsi="Arial" w:cs="Arial"/>
          <w:i/>
          <w:iCs/>
          <w:sz w:val="21"/>
          <w:szCs w:val="21"/>
        </w:rPr>
        <w:t>Milestone M3 (month 24): submitted publication(s), public dataset.</w:t>
      </w:r>
    </w:p>
    <w:p w14:paraId="0ECC42C3" w14:textId="77777777" w:rsidR="00CB7745" w:rsidRDefault="00CB7745">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61C2C7D9"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D29F839"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E248430"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F00B57"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8EFE3A5"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5FCFF05"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5D020A2"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C80BB12"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19581AC"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F9C7F0B"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281083F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79BD9B"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6B9AC1"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1CC7D6"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2B41E5"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8BD047"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C1DE5A" w14:textId="77777777" w:rsidR="00CB7745" w:rsidRDefault="00CB7745">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7C0320"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90DA0F"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0A5FF9" w14:textId="77777777" w:rsidR="00CB7745" w:rsidRDefault="00CB7745">
            <w:pPr>
              <w:spacing w:before="120" w:after="200"/>
              <w:jc w:val="center"/>
              <w:rPr>
                <w:rFonts w:eastAsia="Times New Roman"/>
                <w:sz w:val="20"/>
                <w:szCs w:val="20"/>
              </w:rPr>
            </w:pPr>
          </w:p>
        </w:tc>
      </w:tr>
      <w:tr w:rsidR="00000000" w14:paraId="1AC7DA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A255AC"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BD65E7" w14:textId="77777777" w:rsidR="00CB7745" w:rsidRDefault="00CB7745">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FB0E28"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AFA0F"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37F016"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23F47"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4264FB"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8B106" w14:textId="77777777" w:rsidR="00CB7745" w:rsidRDefault="00CB7745">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1C03BB" w14:textId="77777777" w:rsidR="00CB7745" w:rsidRDefault="00CB7745">
            <w:pPr>
              <w:spacing w:before="120" w:after="200"/>
              <w:jc w:val="center"/>
              <w:rPr>
                <w:rFonts w:eastAsia="Times New Roman"/>
                <w:sz w:val="20"/>
                <w:szCs w:val="20"/>
              </w:rPr>
            </w:pPr>
          </w:p>
        </w:tc>
      </w:tr>
      <w:tr w:rsidR="00000000" w14:paraId="34121E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172C5D"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0D8B8F" w14:textId="77777777" w:rsidR="00CB7745" w:rsidRDefault="00CB7745">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FA106"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C153E3"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BC2AFE"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A321A"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11BDD"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C6B00D"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C9022"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362FA0C7" w14:textId="77777777" w:rsidR="00CB7745" w:rsidRDefault="00CB7745">
      <w:pPr>
        <w:pStyle w:val="Heading2"/>
        <w:rPr>
          <w:rFonts w:ascii="Arial" w:eastAsia="Times New Roman" w:hAnsi="Arial" w:cs="Arial"/>
        </w:rPr>
      </w:pPr>
      <w:r>
        <w:rPr>
          <w:rFonts w:ascii="Arial" w:eastAsia="Times New Roman" w:hAnsi="Arial" w:cs="Arial"/>
        </w:rPr>
        <w:t>5  Career perspective and return strategy</w:t>
      </w:r>
    </w:p>
    <w:p w14:paraId="5C37B92C" w14:textId="77777777" w:rsidR="00CB7745" w:rsidRDefault="00CB7745">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descriptor-resolved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dataset, and potentially the first intrinsically switching interstitial-oxygen memristor) for the larger programme of a “treasure map” of memristive oxides in analogy to the bonding-descriptor maps of Wuttig et al. [22]. The subsequent group programme then extends the methodology to the perovskite vacancy families (manganites, ferrites, cobaltites), placing interstitial- and vacancy-mediated switching on one common descriptor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60C7C6BE" w14:textId="77777777" w:rsidR="00CB7745" w:rsidRDefault="00CB7745">
      <w:pPr>
        <w:pStyle w:val="Heading2"/>
        <w:rPr>
          <w:rFonts w:ascii="Arial" w:eastAsia="Times New Roman" w:hAnsi="Arial" w:cs="Arial"/>
        </w:rPr>
      </w:pPr>
      <w:r>
        <w:rPr>
          <w:rFonts w:ascii="Arial" w:eastAsia="Times New Roman" w:hAnsi="Arial" w:cs="Arial"/>
        </w:rPr>
        <w:t>6  References</w:t>
      </w:r>
    </w:p>
    <w:p w14:paraId="6B20473B" w14:textId="77777777" w:rsidR="00CB7745" w:rsidRDefault="00CB7745">
      <w:pPr>
        <w:spacing w:after="60"/>
        <w:ind w:hanging="480"/>
        <w:divId w:val="2074693967"/>
        <w:rPr>
          <w:rFonts w:ascii="Arial" w:hAnsi="Arial" w:cs="Arial"/>
          <w:sz w:val="18"/>
          <w:szCs w:val="18"/>
        </w:rPr>
      </w:pPr>
      <w:r>
        <w:rPr>
          <w:rFonts w:ascii="Arial" w:hAnsi="Arial" w:cs="Arial"/>
          <w:sz w:val="18"/>
          <w:szCs w:val="18"/>
        </w:rPr>
        <w:t>[1] R. Waser, M. Aono, Nanoionics-based resistive switching memories. Nature Materials 6, 833–840 (2007).</w:t>
      </w:r>
    </w:p>
    <w:p w14:paraId="505984F7" w14:textId="77777777" w:rsidR="00CB7745" w:rsidRDefault="00CB7745">
      <w:pPr>
        <w:spacing w:after="60"/>
        <w:ind w:hanging="480"/>
        <w:divId w:val="2074693967"/>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154ECC2D" w14:textId="77777777" w:rsidR="00CB7745" w:rsidRDefault="00CB7745">
      <w:pPr>
        <w:spacing w:after="60"/>
        <w:ind w:hanging="480"/>
        <w:divId w:val="207469396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0AFBA907" w14:textId="77777777" w:rsidR="00CB7745" w:rsidRDefault="00CB7745">
      <w:pPr>
        <w:spacing w:after="60"/>
        <w:ind w:hanging="480"/>
        <w:divId w:val="2074693967"/>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73901A60" w14:textId="77777777" w:rsidR="00CB7745" w:rsidRDefault="00CB7745">
      <w:pPr>
        <w:spacing w:after="60"/>
        <w:ind w:hanging="480"/>
        <w:divId w:val="2074693967"/>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7A50D4D9" w14:textId="77777777" w:rsidR="00CB7745" w:rsidRDefault="00CB7745">
      <w:pPr>
        <w:spacing w:after="60"/>
        <w:ind w:hanging="480"/>
        <w:divId w:val="2074693967"/>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A029254" w14:textId="77777777" w:rsidR="00CB7745" w:rsidRDefault="00CB7745">
      <w:pPr>
        <w:spacing w:after="60"/>
        <w:ind w:hanging="480"/>
        <w:divId w:val="2074693967"/>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FB45FFB" w14:textId="77777777" w:rsidR="00CB7745" w:rsidRDefault="00CB7745">
      <w:pPr>
        <w:spacing w:after="60"/>
        <w:ind w:hanging="480"/>
        <w:divId w:val="2074693967"/>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65D2F440" w14:textId="77777777" w:rsidR="00CB7745" w:rsidRDefault="00CB7745">
      <w:pPr>
        <w:spacing w:after="60"/>
        <w:ind w:hanging="480"/>
        <w:divId w:val="2074693967"/>
        <w:rPr>
          <w:rFonts w:ascii="Arial" w:hAnsi="Arial" w:cs="Arial"/>
          <w:sz w:val="18"/>
          <w:szCs w:val="18"/>
        </w:rPr>
      </w:pPr>
      <w:r>
        <w:rPr>
          <w:rFonts w:ascii="Arial" w:hAnsi="Arial" w:cs="Arial"/>
          <w:sz w:val="18"/>
          <w:szCs w:val="18"/>
        </w:rPr>
        <w:t>[9] P. Kuiper, J. van Elp, G. A. Sawatzky et al., Unoccupied density of states of La</w:t>
      </w:r>
      <w:r>
        <w:rPr>
          <w:rFonts w:ascii="Arial" w:hAnsi="Arial" w:cs="Arial"/>
          <w:sz w:val="18"/>
          <w:szCs w:val="18"/>
          <w:vertAlign w:val="subscript"/>
        </w:rPr>
        <w:t>2-x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xml:space="preserve"> studied by polarization-dependent x-ray-absorption spectroscopy and bremsstrahlung isochromat spectroscopy. Physical Review B 44, 4570–4575 (1991).</w:t>
      </w:r>
    </w:p>
    <w:p w14:paraId="68F133CF" w14:textId="77777777" w:rsidR="00CB7745" w:rsidRDefault="00CB7745">
      <w:pPr>
        <w:spacing w:after="60"/>
        <w:ind w:hanging="480"/>
        <w:divId w:val="2074693967"/>
        <w:rPr>
          <w:rFonts w:ascii="Arial" w:hAnsi="Arial" w:cs="Arial"/>
          <w:sz w:val="18"/>
          <w:szCs w:val="18"/>
        </w:rPr>
      </w:pPr>
      <w:r>
        <w:rPr>
          <w:rFonts w:ascii="Arial" w:hAnsi="Arial" w:cs="Arial"/>
          <w:sz w:val="18"/>
          <w:szCs w:val="18"/>
        </w:rPr>
        <w:t>[10] T.-K. Khuu et al.,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Integrated on Si-Based Substrates. Advanced Materials Technologies 7, 2200329 (2022).</w:t>
      </w:r>
    </w:p>
    <w:p w14:paraId="085D7002" w14:textId="77777777" w:rsidR="00CB7745" w:rsidRDefault="00CB7745">
      <w:pPr>
        <w:spacing w:after="60"/>
        <w:ind w:hanging="480"/>
        <w:divId w:val="2074693967"/>
        <w:rPr>
          <w:rFonts w:ascii="Arial" w:hAnsi="Arial" w:cs="Arial"/>
          <w:sz w:val="18"/>
          <w:szCs w:val="18"/>
        </w:rPr>
      </w:pPr>
      <w:r>
        <w:rPr>
          <w:rFonts w:ascii="Arial" w:hAnsi="Arial" w:cs="Arial"/>
          <w:sz w:val="18"/>
          <w:szCs w:val="18"/>
        </w:rPr>
        <w:t>[11] A. Koroleva et al., Impact of the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xml:space="preserve"> Oxygen Content on the Synaptic Properties of the TiN/La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/Pt Memristive Devices. Advanced Electronic Materials 10, 2400096 (2024).</w:t>
      </w:r>
    </w:p>
    <w:p w14:paraId="039EAE1C" w14:textId="77777777" w:rsidR="00CB7745" w:rsidRDefault="00CB7745">
      <w:pPr>
        <w:spacing w:after="60"/>
        <w:ind w:hanging="480"/>
        <w:divId w:val="2074693967"/>
        <w:rPr>
          <w:rFonts w:ascii="Arial" w:hAnsi="Arial" w:cs="Arial"/>
          <w:sz w:val="18"/>
          <w:szCs w:val="18"/>
        </w:rPr>
      </w:pPr>
      <w:r>
        <w:rPr>
          <w:rFonts w:ascii="Arial" w:hAnsi="Arial" w:cs="Arial"/>
          <w:sz w:val="18"/>
          <w:szCs w:val="18"/>
        </w:rPr>
        <w:t>[12] T.-K. Khuu, A. Koroleva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798A102E" w14:textId="77777777" w:rsidR="00CB7745" w:rsidRDefault="00CB7745">
      <w:pPr>
        <w:spacing w:after="60"/>
        <w:ind w:hanging="480"/>
        <w:divId w:val="2074693967"/>
        <w:rPr>
          <w:rFonts w:ascii="Arial" w:hAnsi="Arial" w:cs="Arial"/>
          <w:sz w:val="18"/>
          <w:szCs w:val="18"/>
        </w:rPr>
      </w:pPr>
      <w:r>
        <w:rPr>
          <w:rFonts w:ascii="Arial" w:hAnsi="Arial" w:cs="Arial"/>
          <w:sz w:val="18"/>
          <w:szCs w:val="18"/>
        </w:rPr>
        <w:t>[13] C. Baeumer et al., Quantifying redox-induced Schottky barrier variations in memristive devices via in operando spectromicroscopy with graphene electrodes. Nature Communications 7, 12398 (2016).</w:t>
      </w:r>
    </w:p>
    <w:p w14:paraId="409BB4C4" w14:textId="77777777" w:rsidR="00CB7745" w:rsidRDefault="00CB7745">
      <w:pPr>
        <w:spacing w:after="60"/>
        <w:ind w:hanging="480"/>
        <w:divId w:val="2074693967"/>
        <w:rPr>
          <w:rFonts w:ascii="Arial" w:hAnsi="Arial" w:cs="Arial"/>
          <w:sz w:val="18"/>
          <w:szCs w:val="18"/>
        </w:rPr>
      </w:pPr>
      <w:r>
        <w:rPr>
          <w:rFonts w:ascii="Arial" w:hAnsi="Arial" w:cs="Arial"/>
          <w:sz w:val="18"/>
          <w:szCs w:val="18"/>
        </w:rPr>
        <w:t>[14] H. Tian et al., Monitoring Oxygen Movement by Raman Spectroscopy of Resistive Random Access Memory with a Graphene-Inserted Electrode. Nano Letters 13, 651–657 (2013).</w:t>
      </w:r>
    </w:p>
    <w:p w14:paraId="30728704" w14:textId="77777777" w:rsidR="00CB7745" w:rsidRDefault="00CB7745">
      <w:pPr>
        <w:spacing w:after="60"/>
        <w:ind w:hanging="480"/>
        <w:divId w:val="2074693967"/>
        <w:rPr>
          <w:rFonts w:ascii="Arial" w:hAnsi="Arial" w:cs="Arial"/>
          <w:sz w:val="18"/>
          <w:szCs w:val="18"/>
        </w:rPr>
      </w:pPr>
      <w:r>
        <w:rPr>
          <w:rFonts w:ascii="Arial" w:hAnsi="Arial" w:cs="Arial"/>
          <w:sz w:val="18"/>
          <w:szCs w:val="18"/>
        </w:rPr>
        <w:t>[15] J. Suntivich et al., Estimating Hybridization of Transition Metal and Oxygen States in Perovskites from O K-edge X-ray Absorption Spectroscopy. Journal of Physical Chemistry C 118, 1856–1863 (2014).</w:t>
      </w:r>
    </w:p>
    <w:p w14:paraId="34B266B1" w14:textId="77777777" w:rsidR="00CB7745" w:rsidRDefault="00CB7745">
      <w:pPr>
        <w:spacing w:after="60"/>
        <w:ind w:hanging="480"/>
        <w:divId w:val="2074693967"/>
        <w:rPr>
          <w:rFonts w:ascii="Arial" w:hAnsi="Arial" w:cs="Arial"/>
          <w:sz w:val="18"/>
          <w:szCs w:val="18"/>
        </w:rPr>
      </w:pPr>
      <w:r>
        <w:rPr>
          <w:rFonts w:ascii="Arial" w:hAnsi="Arial" w:cs="Arial"/>
          <w:sz w:val="18"/>
          <w:szCs w:val="18"/>
        </w:rPr>
        <w:t>[16] F. Frati, M. O. J. Y. Hunault, F. M. F. de Groot, Oxygen K-edge X-ray Absorption Spectra. Chemical Reviews 120, 4056–4110 (2020).</w:t>
      </w:r>
    </w:p>
    <w:p w14:paraId="3B1A5DA8" w14:textId="77777777" w:rsidR="00CB7745" w:rsidRDefault="00CB7745">
      <w:pPr>
        <w:spacing w:after="60"/>
        <w:ind w:hanging="480"/>
        <w:divId w:val="2074693967"/>
        <w:rPr>
          <w:rFonts w:ascii="Arial" w:hAnsi="Arial" w:cs="Arial"/>
          <w:sz w:val="18"/>
          <w:szCs w:val="18"/>
        </w:rPr>
      </w:pPr>
      <w:r>
        <w:rPr>
          <w:rFonts w:ascii="Arial" w:hAnsi="Arial" w:cs="Arial"/>
          <w:sz w:val="18"/>
          <w:szCs w:val="18"/>
        </w:rPr>
        <w:t>[17]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7D87C933" w14:textId="77777777" w:rsidR="00CB7745" w:rsidRDefault="00CB7745">
      <w:pPr>
        <w:spacing w:after="60"/>
        <w:ind w:hanging="480"/>
        <w:divId w:val="2074693967"/>
        <w:rPr>
          <w:rFonts w:ascii="Arial" w:hAnsi="Arial" w:cs="Arial"/>
          <w:sz w:val="18"/>
          <w:szCs w:val="18"/>
        </w:rPr>
      </w:pPr>
      <w:r>
        <w:rPr>
          <w:rFonts w:ascii="Arial" w:hAnsi="Arial" w:cs="Arial"/>
          <w:sz w:val="18"/>
          <w:szCs w:val="18"/>
        </w:rPr>
        <w:t>[18]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5D3E9B31" w14:textId="77777777" w:rsidR="00CB7745" w:rsidRDefault="00CB7745">
      <w:pPr>
        <w:spacing w:after="60"/>
        <w:ind w:hanging="480"/>
        <w:divId w:val="2074693967"/>
        <w:rPr>
          <w:rFonts w:ascii="Arial" w:hAnsi="Arial" w:cs="Arial"/>
          <w:sz w:val="18"/>
          <w:szCs w:val="18"/>
        </w:rPr>
      </w:pPr>
      <w:r>
        <w:rPr>
          <w:rFonts w:ascii="Arial" w:hAnsi="Arial" w:cs="Arial"/>
          <w:sz w:val="18"/>
          <w:szCs w:val="18"/>
        </w:rPr>
        <w:t>[19]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45D495C5" w14:textId="77777777" w:rsidR="00CB7745" w:rsidRDefault="00CB7745">
      <w:pPr>
        <w:spacing w:after="60"/>
        <w:ind w:hanging="480"/>
        <w:divId w:val="2074693967"/>
        <w:rPr>
          <w:rFonts w:ascii="Arial" w:hAnsi="Arial" w:cs="Arial"/>
          <w:sz w:val="18"/>
          <w:szCs w:val="18"/>
        </w:rPr>
      </w:pPr>
      <w:r>
        <w:rPr>
          <w:rFonts w:ascii="Arial" w:hAnsi="Arial" w:cs="Arial"/>
          <w:sz w:val="18"/>
          <w:szCs w:val="18"/>
        </w:rPr>
        <w:t>[20] D. N. Mueller, M. L. Machala, H. Bluhm, W. C. Chueh, Redox activity of surface oxygen anions in oxygen-deficient perovskite oxides during electrochemical reactions. Nature Communications 6, 6097 (2015).</w:t>
      </w:r>
    </w:p>
    <w:p w14:paraId="078280C9" w14:textId="77777777" w:rsidR="00CB7745" w:rsidRDefault="00CB7745">
      <w:pPr>
        <w:spacing w:after="60"/>
        <w:ind w:hanging="480"/>
        <w:divId w:val="2074693967"/>
        <w:rPr>
          <w:rFonts w:ascii="Arial" w:hAnsi="Arial" w:cs="Arial"/>
          <w:sz w:val="18"/>
          <w:szCs w:val="18"/>
        </w:rPr>
      </w:pPr>
      <w:r>
        <w:rPr>
          <w:rFonts w:ascii="Arial" w:hAnsi="Arial" w:cs="Arial"/>
          <w:sz w:val="18"/>
          <w:szCs w:val="18"/>
        </w:rPr>
        <w:t>[21]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349346CF" w14:textId="77777777" w:rsidR="00CB7745" w:rsidRDefault="00CB7745">
      <w:pPr>
        <w:spacing w:after="60"/>
        <w:ind w:hanging="480"/>
        <w:divId w:val="2074693967"/>
        <w:rPr>
          <w:rFonts w:ascii="Arial" w:hAnsi="Arial" w:cs="Arial"/>
          <w:sz w:val="18"/>
          <w:szCs w:val="18"/>
        </w:rPr>
      </w:pPr>
      <w:r>
        <w:rPr>
          <w:rFonts w:ascii="Arial" w:hAnsi="Arial" w:cs="Arial"/>
          <w:sz w:val="18"/>
          <w:szCs w:val="18"/>
        </w:rPr>
        <w:t>[22] M. Wuttig et al., Revisiting the Nature of Chemical Bonding in Chalcogenides to Explain and Design their Properties. Advanced Materials 35, 2208485 (2023).</w:t>
      </w:r>
    </w:p>
    <w:p>
      <w:pPr>
        <w:spacing w:after="60"/>
        <w:ind w:hanging="480"/>
        <w:divId w:val="2074693967"/>
        <w:rPr>
          <w:rFonts w:ascii="Arial" w:hAnsi="Arial" w:cs="Arial"/>
          <w:sz w:val="18"/>
          <w:szCs w:val="18"/>
        </w:rPr>
      </w:pPr>
      <w:r>
        <w:rPr>
          <w:rFonts w:ascii="Arial" w:hAnsi="Arial" w:cs="Arial"/>
          <w:sz w:val="18"/>
          <w:szCs w:val="18"/>
        </w:rPr>
        <w:t xml:space="preserve">[23] K. Maas, C. Wulles, J. M. Caicedo Roque, B. Ballesteros, V. Lafarge, J. Santiso, M. Burriel, Role of pO2 and film microstructure on the memristive properties of La2NiO4+δ/LaNiO3-δ bilayers. Journal of Materials Chemistry A 10, 6523–6530 (2022).</w:t>
      </w:r>
    </w:p>
    <w:p>
      <w:pPr>
        <w:spacing w:after="60"/>
        <w:ind w:hanging="480"/>
        <w:divId w:val="2074693967"/>
        <w:rPr>
          <w:rFonts w:ascii="Arial" w:hAnsi="Arial" w:cs="Arial"/>
          <w:sz w:val="18"/>
          <w:szCs w:val="18"/>
        </w:rPr>
      </w:pPr>
      <w:r>
        <w:rPr>
          <w:rFonts w:ascii="Arial" w:hAnsi="Arial" w:cs="Arial"/>
          <w:sz w:val="18"/>
          <w:szCs w:val="18"/>
        </w:rPr>
        <w:t xml:space="preserve">[24] T.-K. Khuu, A. Koroleva, A. Degreze, E.-I. Vatajelu, G. Lefèvre, C. Jiménez, S. Blonkowski, E. Jalaguier, A. Bsiesy, M. Burriel, Analog memristive devices based on La2NiO4+δ as synapses for spiking neural networks. Journal of Physics D: Applied Physics 57, 10LT01 (2024).</w:t>
      </w:r>
    </w:p>
    <w:p>
      <w:pPr>
        <w:spacing w:after="60"/>
        <w:ind w:hanging="480"/>
        <w:divId w:val="2074693967"/>
        <w:rPr>
          <w:rFonts w:ascii="Arial" w:hAnsi="Arial" w:cs="Arial"/>
          <w:sz w:val="18"/>
          <w:szCs w:val="18"/>
        </w:rPr>
      </w:pPr>
      <w:r>
        <w:rPr>
          <w:rFonts w:ascii="Arial" w:hAnsi="Arial" w:cs="Arial"/>
          <w:sz w:val="18"/>
          <w:szCs w:val="18"/>
        </w:rPr>
        <w:t xml:space="preserve">[25] Y. Yao et al., Oxygen-intercalated Ruddlesden–Popper nickelate: giant resistive switching and emergent multi-electronic phase control. Materials Horizons 13, 2479–2488 (2026).</w:t>
      </w:r>
    </w:p>
    <w:p w14:paraId="111037FD" w14:textId="77777777" w:rsidR="00CB7745" w:rsidRDefault="00CB7745">
      <w:pPr>
        <w:spacing w:after="60"/>
        <w:ind w:hanging="480"/>
        <w:divId w:val="2074693967"/>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36408EA5" w14:textId="77777777" w:rsidR="00CB7745" w:rsidRDefault="00CB7745">
      <w:pPr>
        <w:spacing w:after="60"/>
        <w:ind w:hanging="480"/>
        <w:divId w:val="2074693967"/>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5AD3072" w14:textId="77777777" w:rsidR="00CB7745" w:rsidRDefault="00CB7745">
      <w:pPr>
        <w:spacing w:after="60"/>
        <w:ind w:hanging="480"/>
        <w:divId w:val="2074693967"/>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02883D2" w14:textId="77777777" w:rsidR="00CB7745" w:rsidRDefault="00CB7745">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796DC2E4"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D55D32C"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0932E8E"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28C8C1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AA5B5"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3D46B"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1071F4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A79D96"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554CD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3A799E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AA95A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3C89A6"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20BDF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D2495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4F370"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45FC07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7E0390"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B7DF5"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473AC50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AF2E23"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89F9A4"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508D70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6273D"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C2CBE"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5D166C68" w14:textId="77777777" w:rsidR="00CB7745" w:rsidRDefault="00CB7745">
      <w:pPr>
        <w:pStyle w:val="Heading2"/>
        <w:rPr>
          <w:rFonts w:ascii="Arial" w:eastAsia="Times New Roman" w:hAnsi="Arial" w:cs="Arial"/>
        </w:rPr>
      </w:pPr>
      <w:r>
        <w:rPr>
          <w:rFonts w:ascii="Arial" w:eastAsia="Times New Roman" w:hAnsi="Arial" w:cs="Arial"/>
        </w:rPr>
        <w:t>Fellowship benefits (for orientation, as of 2026)</w:t>
      </w:r>
    </w:p>
    <w:p w14:paraId="4049B2BD" w14:textId="77777777" w:rsidR="00CB7745" w:rsidRDefault="00CB7745">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CB774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51C5E"/>
    <w:rsid w:val="00451C5E"/>
    <w:rsid w:val="00823E15"/>
    <w:rsid w:val="00CB77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96508F"/>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693967">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2442</Words>
  <Characters>13924</Characters>
  <Application>Microsoft Office Word</Application>
  <DocSecurity>4</DocSecurity>
  <Lines>116</Lines>
  <Paragraphs>32</Paragraphs>
  <ScaleCrop>false</ScaleCrop>
  <Company/>
  <LinksUpToDate>false</LinksUpToDate>
  <CharactersWithSpaces>16334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