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008835" w14:textId="77777777" w:rsidR="00655622" w:rsidRDefault="00655622">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47766392" w14:textId="77777777" w:rsidR="00655622" w:rsidRDefault="00655622">
      <w:pPr>
        <w:pStyle w:val="NormalWeb"/>
        <w:rPr>
          <w:rFonts w:ascii="Arial" w:hAnsi="Arial" w:cs="Arial"/>
          <w:sz w:val="21"/>
          <w:szCs w:val="21"/>
        </w:rPr>
      </w:pPr>
      <w:r>
        <w:rPr>
          <w:rFonts w:ascii="Arial" w:hAnsi="Arial" w:cs="Arial"/>
          <w:sz w:val="21"/>
          <w:szCs w:val="21"/>
        </w:rPr>
        <w:t> </w:t>
      </w:r>
    </w:p>
    <w:p w14:paraId="23D6BDDE" w14:textId="77777777" w:rsidR="00655622" w:rsidRDefault="00655622">
      <w:pPr>
        <w:pStyle w:val="NormalWeb"/>
        <w:rPr>
          <w:rFonts w:ascii="Arial" w:hAnsi="Arial" w:cs="Arial"/>
          <w:sz w:val="21"/>
          <w:szCs w:val="21"/>
        </w:rPr>
      </w:pPr>
      <w:r>
        <w:rPr>
          <w:rFonts w:ascii="Arial" w:hAnsi="Arial" w:cs="Arial"/>
          <w:sz w:val="21"/>
          <w:szCs w:val="21"/>
        </w:rPr>
        <w:t> </w:t>
      </w:r>
    </w:p>
    <w:p w14:paraId="003EC1B9" w14:textId="77777777" w:rsidR="00655622" w:rsidRDefault="00655622">
      <w:pPr>
        <w:pStyle w:val="NormalWeb"/>
        <w:rPr>
          <w:rFonts w:ascii="Arial" w:hAnsi="Arial" w:cs="Arial"/>
          <w:sz w:val="21"/>
          <w:szCs w:val="21"/>
        </w:rPr>
      </w:pPr>
      <w:r>
        <w:rPr>
          <w:rFonts w:ascii="Arial" w:hAnsi="Arial" w:cs="Arial"/>
          <w:sz w:val="21"/>
          <w:szCs w:val="21"/>
        </w:rPr>
        <w:t> </w:t>
      </w:r>
    </w:p>
    <w:p w14:paraId="029A820B" w14:textId="77777777" w:rsidR="00655622" w:rsidRDefault="00655622">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7C7B9D6F" w14:textId="77777777" w:rsidR="00655622" w:rsidRDefault="00655622">
      <w:pPr>
        <w:pStyle w:val="NormalWeb"/>
        <w:rPr>
          <w:rFonts w:ascii="Arial" w:hAnsi="Arial" w:cs="Arial"/>
          <w:sz w:val="21"/>
          <w:szCs w:val="21"/>
        </w:rPr>
      </w:pPr>
      <w:r>
        <w:rPr>
          <w:rFonts w:ascii="Arial" w:hAnsi="Arial" w:cs="Arial"/>
          <w:sz w:val="21"/>
          <w:szCs w:val="21"/>
        </w:rPr>
        <w:t> </w:t>
      </w:r>
    </w:p>
    <w:p w14:paraId="2D53B7CE" w14:textId="77777777" w:rsidR="00655622" w:rsidRDefault="00655622">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7FBF23A3" w14:textId="77777777" w:rsidR="00655622" w:rsidRDefault="00655622">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62C72132" w14:textId="77777777" w:rsidR="00655622" w:rsidRDefault="00655622">
      <w:pPr>
        <w:pStyle w:val="NormalWeb"/>
        <w:rPr>
          <w:rFonts w:ascii="Arial" w:hAnsi="Arial" w:cs="Arial"/>
          <w:sz w:val="21"/>
          <w:szCs w:val="21"/>
        </w:rPr>
      </w:pPr>
      <w:r>
        <w:rPr>
          <w:rFonts w:ascii="Arial" w:hAnsi="Arial" w:cs="Arial"/>
          <w:sz w:val="21"/>
          <w:szCs w:val="21"/>
        </w:rPr>
        <w:t> </w:t>
      </w:r>
    </w:p>
    <w:p w14:paraId="0C51541C" w14:textId="77777777" w:rsidR="00655622" w:rsidRDefault="00655622">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126BEA31"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145A97"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E410F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2561237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040316"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F7400E"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6ECAD8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9B5A6A"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E84C7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1222D18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DEEF2C"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8A4FC3"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7ACE88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CCA173"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5A933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040D2E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45A00D"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1A0A6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08BE3A6D" w14:textId="77777777" w:rsidR="00655622" w:rsidRDefault="00655622">
      <w:pPr>
        <w:pStyle w:val="NormalWeb"/>
        <w:rPr>
          <w:rFonts w:ascii="Arial" w:hAnsi="Arial" w:cs="Arial"/>
          <w:sz w:val="21"/>
          <w:szCs w:val="21"/>
        </w:rPr>
      </w:pPr>
      <w:r>
        <w:rPr>
          <w:rFonts w:ascii="Arial" w:hAnsi="Arial" w:cs="Arial"/>
          <w:sz w:val="21"/>
          <w:szCs w:val="21"/>
        </w:rPr>
        <w:t> </w:t>
      </w:r>
    </w:p>
    <w:p w14:paraId="04D40B1E" w14:textId="77777777" w:rsidR="00655622" w:rsidRDefault="00655622">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55BB351F" w14:textId="77777777" w:rsidR="00655622" w:rsidRDefault="00655622">
      <w:pPr>
        <w:pStyle w:val="Heading1"/>
        <w:pageBreakBefore/>
        <w:rPr>
          <w:rFonts w:ascii="Arial" w:eastAsia="Times New Roman" w:hAnsi="Arial" w:cs="Arial"/>
        </w:rPr>
      </w:pPr>
      <w:r>
        <w:rPr>
          <w:rFonts w:ascii="Arial" w:eastAsia="Times New Roman" w:hAnsi="Arial" w:cs="Arial"/>
        </w:rPr>
        <w:lastRenderedPageBreak/>
        <w:t>Summary</w:t>
      </w:r>
    </w:p>
    <w:p w14:paraId="09F1BB16" w14:textId="77777777" w:rsidR="00655622" w:rsidRDefault="00655622">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19A2DFC9" w14:textId="77777777" w:rsidR="00655622" w:rsidRDefault="00655622">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later</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186FDC9E" w14:textId="77777777" w:rsidR="00655622" w:rsidRDefault="00655622">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validated by a “blind” prediction on an oxide not contained in the training set.</w:t>
      </w:r>
    </w:p>
    <w:p w14:paraId="166F4E87" w14:textId="77777777" w:rsidR="00655622" w:rsidRDefault="00655622">
      <w:pPr>
        <w:pStyle w:val="Heading1"/>
        <w:pageBreakBefore/>
        <w:rPr>
          <w:rFonts w:ascii="Arial" w:eastAsia="Times New Roman" w:hAnsi="Arial" w:cs="Arial"/>
        </w:rPr>
      </w:pPr>
      <w:r>
        <w:rPr>
          <w:rFonts w:ascii="Arial" w:eastAsia="Times New Roman" w:hAnsi="Arial" w:cs="Arial"/>
        </w:rPr>
        <w:t>1  State of the Art and Preliminary Work</w:t>
      </w:r>
    </w:p>
    <w:p w14:paraId="47243C34" w14:textId="77777777" w:rsidR="00655622" w:rsidRDefault="00655622">
      <w:pPr>
        <w:pStyle w:val="Heading2"/>
        <w:rPr>
          <w:rFonts w:ascii="Arial" w:eastAsia="Times New Roman" w:hAnsi="Arial" w:cs="Arial"/>
        </w:rPr>
      </w:pPr>
      <w:r>
        <w:rPr>
          <w:rFonts w:ascii="Arial" w:eastAsia="Times New Roman" w:hAnsi="Arial" w:cs="Arial"/>
        </w:rPr>
        <w:t>1.1  State of the art</w:t>
      </w:r>
    </w:p>
    <w:p w14:paraId="54266258" w14:textId="77777777" w:rsidR="00655622" w:rsidRDefault="00655622">
      <w:pPr>
        <w:pStyle w:val="Heading3"/>
        <w:rPr>
          <w:rFonts w:ascii="Arial" w:eastAsia="Times New Roman" w:hAnsi="Arial" w:cs="Arial"/>
        </w:rPr>
      </w:pPr>
      <w:r>
        <w:rPr>
          <w:rFonts w:ascii="Arial" w:eastAsia="Times New Roman" w:hAnsi="Arial" w:cs="Arial"/>
        </w:rPr>
        <w:t>1.1.1  Memristive switching in oxides: the valence change mechanism</w:t>
      </w:r>
    </w:p>
    <w:p w14:paraId="5F97A06F" w14:textId="77777777" w:rsidR="00655622" w:rsidRDefault="00655622">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83].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56F2B3B1" w14:textId="77777777" w:rsidR="00655622" w:rsidRDefault="00655622">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81].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37E46052" w14:textId="77777777" w:rsidR="00655622" w:rsidRDefault="00655622">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4F500D85" w14:textId="77777777" w:rsidR="00655622" w:rsidRDefault="00655622">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4D237817" w14:textId="77777777" w:rsidR="00655622" w:rsidRDefault="00655622">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back to the electronic structure – ultimately to the metal–oxygen covalency. The conceptual foundation is the Zaanen–Sawatzky–Allen scheme [21]: the charge-transfer energy Δ (O 2p → metal 3d) measures the position of the O-2p states relative to the metal d states and is the microscopic measure of covalency.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64C2DCD9" w14:textId="77777777" w:rsidR="00655622" w:rsidRDefault="00655622">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229F7083" w14:textId="77777777" w:rsidR="00655622" w:rsidRDefault="00655622">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86];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59AC18D8" w14:textId="77777777" w:rsidR="00655622" w:rsidRDefault="00655622">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3A420CB5" w14:textId="77777777" w:rsidR="00655622" w:rsidRDefault="00655622">
      <w:pPr>
        <w:pStyle w:val="NormalWeb"/>
        <w:rPr>
          <w:rFonts w:ascii="Arial" w:hAnsi="Arial" w:cs="Arial"/>
          <w:sz w:val="21"/>
          <w:szCs w:val="21"/>
        </w:rPr>
      </w:pPr>
      <w:r>
        <w:rPr>
          <w:rFonts w:ascii="Arial" w:hAnsi="Arial" w:cs="Arial"/>
          <w:sz w:val="21"/>
          <w:szCs w:val="21"/>
        </w:rPr>
        <w:t>XAS provides exactly the observables required for an experimental descriptor map. The pre-edge of the O-K edge (528–532 eV) arises from transitions into unoccupied, covalently hybridised O2p–TM3d states; its integrated intensity is an established measure of metal–oxygen hybridisation [45, 47].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including the primary ferrite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12EE475C" w14:textId="77777777" w:rsidR="00655622" w:rsidRDefault="00655622">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5A345276" w14:textId="77777777" w:rsidR="00655622" w:rsidRDefault="00655622">
      <w:pPr>
        <w:pStyle w:val="Heading3"/>
        <w:rPr>
          <w:rFonts w:ascii="Arial" w:eastAsia="Times New Roman" w:hAnsi="Arial" w:cs="Arial"/>
        </w:rPr>
      </w:pPr>
      <w:r>
        <w:rPr>
          <w:rFonts w:ascii="Arial" w:eastAsia="Times New Roman" w:hAnsi="Arial" w:cs="Arial"/>
        </w:rPr>
        <w:t>1.1.4  PLD growth of epitaxial oxide heterostructures</w:t>
      </w:r>
    </w:p>
    <w:p w14:paraId="244C61FE" w14:textId="77777777" w:rsidR="00655622" w:rsidRDefault="00655622">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2158210C" w14:textId="77777777" w:rsidR="00655622" w:rsidRDefault="00655622">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4CF87FAF" w14:textId="77777777" w:rsidR="00655622" w:rsidRDefault="00655622">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82];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74472A7F" w14:textId="77777777" w:rsidR="00655622" w:rsidRDefault="0065562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693646BE" w14:textId="77777777" w:rsidR="00655622" w:rsidRDefault="00655622">
      <w:pPr>
        <w:pStyle w:val="Heading3"/>
        <w:rPr>
          <w:rFonts w:ascii="Arial" w:eastAsia="Times New Roman" w:hAnsi="Arial" w:cs="Arial"/>
        </w:rPr>
      </w:pPr>
      <w:r>
        <w:rPr>
          <w:rFonts w:ascii="Arial" w:eastAsia="Times New Roman" w:hAnsi="Arial" w:cs="Arial"/>
        </w:rPr>
        <w:t>1.1.6  Feasibility and prior findings on the chosen material series</w:t>
      </w:r>
    </w:p>
    <w:p w14:paraId="6244C38F" w14:textId="77777777" w:rsidR="00655622" w:rsidRDefault="00655622">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xml:space="preserve">, by contrast, has only been studied rudimentarily (polycrystalline, chemically deposited films [67, 87]) – consistent with its high vacancy formation energy. </w:t>
      </w:r>
      <w:r>
        <w:rPr>
          <w:rFonts w:ascii="Arial" w:hAnsi="Arial" w:cs="Arial"/>
          <w:sz w:val="21"/>
          <w:szCs w:val="21"/>
        </w:rPr>
        <w:t xml:space="preserve">For the manganite series,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is the best-documented family [4, E2, 75] and demonstrably switches between noble Pt contacts with oxygen-stoichiometry-dependent behaviour [89];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itself lacks any noble-metal-interface demonstration (tip-based multilevel recording [68], reactive-contact interface devices [69, 88], in-situ TEM of vacancy-driven transitions [19]) and is therefore not part of the programme core.</w:t>
      </w:r>
      <w:r>
        <w:rPr>
          <w:rFonts w:ascii="Arial" w:hAnsi="Arial" w:cs="Arial"/>
          <w:sz w:val="21"/>
          <w:szCs w:val="21"/>
        </w:rPr>
        <w:t xml:space="preserve">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w:t>
      </w:r>
    </w:p>
    <w:p w14:paraId="030F2B4E" w14:textId="77777777" w:rsidR="00655622" w:rsidRDefault="00655622">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[84]: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85];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 Viewed along the descriptor chain, the evidence is complementary rather than complete: for the ferrite series the covalency axis is canonical [46] and EV(x) quantitative [31, 86], but intermediate-composition devices are absent – though switching under inert Au/SrRuO3 stacks is proven at the Sr-rich end member [16, 17], which turns the series from a feasibility risk into an optimisation space; for the manganite family the covalency axis is the calibration standard of the field [46] and noble-contact switching is proven for Pr1-xCaxMnO3 at a single composition [89], while EV is anchored only generically [42–44] and for La1-xSrxMnO3 no switching at a noble-metal interface has been reported for any composition – the reason the programme uses Pr1-xCaxMnO3 as its manganite series; and stoichiometry-controlled switching at a Pt interface has so far been shown only for the cation stoichiometry of SrTiO3 [78].</w:t>
      </w:r>
    </w:p>
    <w:p w14:paraId="77FD0774" w14:textId="77777777" w:rsidR="00655622" w:rsidRDefault="00655622">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4113EF38" w14:textId="77777777" w:rsidR="00655622" w:rsidRDefault="00655622">
      <w:pPr>
        <w:pStyle w:val="Heading2"/>
        <w:rPr>
          <w:rFonts w:ascii="Arial" w:eastAsia="Times New Roman" w:hAnsi="Arial" w:cs="Arial"/>
        </w:rPr>
      </w:pPr>
      <w:r>
        <w:rPr>
          <w:rFonts w:ascii="Arial" w:eastAsia="Times New Roman" w:hAnsi="Arial" w:cs="Arial"/>
        </w:rPr>
        <w:t>1.2  Preliminary work of the applicant</w:t>
      </w:r>
    </w:p>
    <w:p w14:paraId="34CD0E7D" w14:textId="77777777" w:rsidR="00655622" w:rsidRDefault="00655622">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39B18E67" w14:textId="77777777" w:rsidR="00655622" w:rsidRDefault="00655622">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6BB0D9B6" w14:textId="77777777" w:rsidR="00655622" w:rsidRDefault="00655622">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7A9D0237" w14:textId="77777777" w:rsidR="00655622" w:rsidRDefault="00655622">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746AF5C8" w14:textId="77777777" w:rsidR="00655622" w:rsidRDefault="00655622">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Within the fellowship project “Covalency as an experimental descriptor of memristive switching: the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model series”, the applicant has grown the first epitaxial LSFO composition series – spanning the largest documented E</w:t>
      </w:r>
      <w:r>
        <w:rPr>
          <w:rFonts w:ascii="Arial" w:hAnsi="Arial" w:cs="Arial"/>
          <w:sz w:val="21"/>
          <w:szCs w:val="21"/>
          <w:vertAlign w:val="subscript"/>
        </w:rPr>
        <w:t>V</w:t>
      </w:r>
      <w:r>
        <w:rPr>
          <w:rFonts w:ascii="Arial" w:hAnsi="Arial" w:cs="Arial"/>
          <w:sz w:val="21"/>
          <w:szCs w:val="21"/>
        </w:rPr>
        <w:t xml:space="preserve"> range of any perovskite family [31] – and established the O-K pre-edge covalency scale across it at the Stanford Synchrotron Radiation Lightsource (SSRL)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4663F8F6" w14:textId="77777777" w:rsidR="00655622" w:rsidRDefault="00655622">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0452C039" w14:textId="77777777" w:rsidR="00655622" w:rsidRDefault="00655622">
      <w:pPr>
        <w:pStyle w:val="NormalWeb"/>
        <w:rPr>
          <w:rFonts w:ascii="Arial" w:hAnsi="Arial" w:cs="Arial"/>
          <w:sz w:val="21"/>
          <w:szCs w:val="21"/>
        </w:rPr>
      </w:pPr>
      <w:r>
        <w:rPr>
          <w:rFonts w:ascii="Arial" w:hAnsi="Arial" w:cs="Arial"/>
          <w:b/>
          <w:bCs/>
          <w:sz w:val="21"/>
          <w:szCs w:val="21"/>
        </w:rPr>
        <w:t>Project-relevant publications of the applicant:</w:t>
      </w:r>
    </w:p>
    <w:p w14:paraId="75A50FCA" w14:textId="77777777" w:rsidR="00655622" w:rsidRDefault="00655622">
      <w:pPr>
        <w:spacing w:after="60"/>
        <w:ind w:hanging="480"/>
        <w:divId w:val="2127770504"/>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585BA45A" w14:textId="77777777" w:rsidR="00655622" w:rsidRDefault="00655622">
      <w:pPr>
        <w:spacing w:after="60"/>
        <w:ind w:hanging="480"/>
        <w:divId w:val="2127770504"/>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4EBD0728" w14:textId="77777777" w:rsidR="00655622" w:rsidRDefault="00655622">
      <w:pPr>
        <w:spacing w:after="60"/>
        <w:ind w:hanging="480"/>
        <w:divId w:val="2127770504"/>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44C86A0A" w14:textId="77777777" w:rsidR="00655622" w:rsidRDefault="00655622">
      <w:pPr>
        <w:spacing w:after="60"/>
        <w:ind w:hanging="480"/>
        <w:divId w:val="2127770504"/>
        <w:rPr>
          <w:rFonts w:ascii="Arial" w:hAnsi="Arial" w:cs="Arial"/>
          <w:sz w:val="18"/>
          <w:szCs w:val="18"/>
        </w:rPr>
      </w:pPr>
      <w:r>
        <w:rPr>
          <w:rFonts w:ascii="Arial" w:hAnsi="Arial" w:cs="Arial"/>
          <w:sz w:val="18"/>
          <w:szCs w:val="18"/>
        </w:rPr>
        <w:t>[E4] M. Buczek, [co-authors], W. C. Chueh, [working title: An experimental covalency scale for memristive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Manuscript in preparation (Feodor Lynen fellowship; update status at submission time).</w:t>
      </w:r>
    </w:p>
    <w:p w14:paraId="5798D9AC" w14:textId="77777777" w:rsidR="00655622" w:rsidRDefault="00655622">
      <w:pPr>
        <w:pStyle w:val="muted1"/>
        <w:divId w:val="2127770504"/>
        <w:rPr>
          <w:rFonts w:ascii="Arial" w:hAnsi="Arial" w:cs="Arial"/>
        </w:rPr>
      </w:pPr>
      <w:r>
        <w:rPr>
          <w:rFonts w:ascii="Arial" w:hAnsi="Arial" w:cs="Arial"/>
        </w:rPr>
        <w:t>[Complete author lists and bibliographic details before submission; add patent application (NeuroSys) as [E5] if applicable.]</w:t>
      </w:r>
    </w:p>
    <w:p w14:paraId="1DE385BC" w14:textId="77777777" w:rsidR="00655622" w:rsidRDefault="00655622">
      <w:pPr>
        <w:pStyle w:val="Heading1"/>
        <w:pageBreakBefore/>
        <w:rPr>
          <w:rFonts w:ascii="Arial" w:eastAsia="Times New Roman" w:hAnsi="Arial" w:cs="Arial"/>
        </w:rPr>
      </w:pPr>
      <w:r>
        <w:rPr>
          <w:rFonts w:ascii="Arial" w:eastAsia="Times New Roman" w:hAnsi="Arial" w:cs="Arial"/>
        </w:rPr>
        <w:t>2  Objectives and Work Programme</w:t>
      </w:r>
    </w:p>
    <w:p w14:paraId="3C8E4681" w14:textId="77777777" w:rsidR="00655622" w:rsidRDefault="00655622">
      <w:pPr>
        <w:pStyle w:val="Heading2"/>
        <w:rPr>
          <w:rFonts w:ascii="Arial" w:eastAsia="Times New Roman" w:hAnsi="Arial" w:cs="Arial"/>
        </w:rPr>
      </w:pPr>
      <w:r>
        <w:rPr>
          <w:rFonts w:ascii="Arial" w:eastAsia="Times New Roman" w:hAnsi="Arial" w:cs="Arial"/>
        </w:rPr>
        <w:t>2.1  Anticipated total duration</w:t>
      </w:r>
    </w:p>
    <w:p w14:paraId="39338819" w14:textId="77777777" w:rsidR="00655622" w:rsidRDefault="00655622">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08F8FAA1" w14:textId="77777777" w:rsidR="00655622" w:rsidRDefault="00655622">
      <w:pPr>
        <w:pStyle w:val="Heading2"/>
        <w:rPr>
          <w:rFonts w:ascii="Arial" w:eastAsia="Times New Roman" w:hAnsi="Arial" w:cs="Arial"/>
        </w:rPr>
      </w:pPr>
      <w:r>
        <w:rPr>
          <w:rFonts w:ascii="Arial" w:eastAsia="Times New Roman" w:hAnsi="Arial" w:cs="Arial"/>
        </w:rPr>
        <w:t>2.2  Objectives</w:t>
      </w:r>
    </w:p>
    <w:p w14:paraId="52B3BA45" w14:textId="77777777" w:rsidR="00655622" w:rsidRDefault="00655622">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53FDC35B" w14:textId="77777777" w:rsidR="00655622" w:rsidRDefault="00655622">
      <w:pPr>
        <w:pStyle w:val="NormalWeb"/>
        <w:rPr>
          <w:rFonts w:ascii="Arial" w:hAnsi="Arial" w:cs="Arial"/>
          <w:sz w:val="21"/>
          <w:szCs w:val="21"/>
        </w:rPr>
      </w:pPr>
      <w:r>
        <w:rPr>
          <w:rFonts w:ascii="Arial" w:hAnsi="Arial" w:cs="Arial"/>
          <w:sz w:val="21"/>
          <w:szCs w:val="21"/>
        </w:rPr>
        <w:t>Three testable hypotheses follow:</w:t>
      </w:r>
    </w:p>
    <w:p w14:paraId="493C4F2D" w14:textId="77777777" w:rsidR="00655622" w:rsidRDefault="0065562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29B65860" w14:textId="77777777" w:rsidR="00655622" w:rsidRDefault="0065562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53692B59" w14:textId="77777777" w:rsidR="00655622" w:rsidRDefault="0065562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04B0D252" w14:textId="77777777" w:rsidR="00655622" w:rsidRDefault="0065562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0E81573A" w14:textId="77777777" w:rsidR="00655622" w:rsidRDefault="00655622">
      <w:pPr>
        <w:pStyle w:val="Heading2"/>
        <w:rPr>
          <w:rFonts w:ascii="Arial" w:eastAsia="Times New Roman" w:hAnsi="Arial" w:cs="Arial"/>
        </w:rPr>
      </w:pPr>
      <w:r>
        <w:rPr>
          <w:rFonts w:ascii="Arial" w:eastAsia="Times New Roman" w:hAnsi="Arial" w:cs="Arial"/>
        </w:rPr>
        <w:t>2.3  Materials strategy: covalency as an isolated control variable</w:t>
      </w:r>
    </w:p>
    <w:p w14:paraId="12FC11D5" w14:textId="77777777" w:rsidR="00655622" w:rsidRDefault="00655622">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6B44CFF9" w14:textId="77777777" w:rsidR="00655622" w:rsidRDefault="0065562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49EB7B1E" w14:textId="77777777" w:rsidR="00655622" w:rsidRDefault="0065562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2 – </w:t>
      </w:r>
      <w:r>
        <w:rPr>
          <w:rFonts w:ascii="Arial" w:eastAsia="Times New Roman" w:hAnsi="Arial" w:cs="Arial"/>
          <w:b/>
          <w:bCs/>
          <w:sz w:val="21"/>
          <w:szCs w:val="21"/>
        </w:rPr>
        <w:t xml:space="preserve">Pr</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Ca</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MnO</w:t>
      </w:r>
      <w:r>
        <w:rPr>
          <w:rFonts w:ascii="Arial" w:eastAsia="Times New Roman" w:hAnsi="Arial" w:cs="Arial"/>
          <w:b/>
          <w:bCs/>
          <w:sz w:val="21"/>
          <w:szCs w:val="21"/>
          <w:vertAlign w:val="subscript"/>
        </w:rPr>
        <w:t xml:space="preserve">3</w:t>
      </w:r>
      <w:r>
        <w:rPr>
          <w:rFonts w:ascii="Arial" w:eastAsia="Times New Roman" w:hAnsi="Arial" w:cs="Arial"/>
          <w:b/>
          <w:bCs/>
          <w:sz w:val="21"/>
          <w:szCs w:val="21"/>
        </w:rPr>
        <w:t xml:space="preserve"> (x = 0.1 … 0.8): Reference system with robust, well-documented VCM behaviour [4–6] and the published composition benchmark of Asanuma et al. [75], plus a demonstrated noble-contact switching base [89]; the applicant’s PCMO expertise [E1–E3] de-risks growth, processing and metrology.</w:t>
      </w:r>
    </w:p>
    <w:p w14:paraId="69DF0AE2" w14:textId="77777777" w:rsidR="00655622" w:rsidRDefault="0065562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3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CoO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or B-site series La(Fe</w:t>
      </w:r>
      <w:r>
        <w:rPr>
          <w:rFonts w:ascii="Arial" w:eastAsia="Times New Roman" w:hAnsi="Arial" w:cs="Arial"/>
          <w:b/>
          <w:bCs/>
          <w:sz w:val="21"/>
          <w:szCs w:val="21"/>
          <w:vertAlign w:val="subscript"/>
        </w:rPr>
        <w:t>1-y</w:t>
      </w:r>
      <w:r>
        <w:rPr>
          <w:rFonts w:ascii="Arial" w:eastAsia="Times New Roman" w:hAnsi="Arial" w:cs="Arial"/>
          <w:b/>
          <w:bCs/>
          <w:sz w:val="21"/>
          <w:szCs w:val="21"/>
        </w:rPr>
        <w:t>Co</w:t>
      </w:r>
      <w:r>
        <w:rPr>
          <w:rFonts w:ascii="Arial" w:eastAsia="Times New Roman" w:hAnsi="Arial" w:cs="Arial"/>
          <w:b/>
          <w:bCs/>
          <w:sz w:val="21"/>
          <w:szCs w:val="21"/>
          <w:vertAlign w:val="subscript"/>
        </w:rPr>
        <w:t>y</w:t>
      </w:r>
      <w:r>
        <w:rPr>
          <w:rFonts w:ascii="Arial" w:eastAsia="Times New Roman" w:hAnsi="Arial" w:cs="Arial"/>
          <w:b/>
          <w:bCs/>
          <w:sz w:val="21"/>
          <w:szCs w:val="21"/>
        </w:rPr>
        <w:t>)O</w:t>
      </w:r>
      <w:r>
        <w:rPr>
          <w:rFonts w:ascii="Arial" w:eastAsia="Times New Roman" w:hAnsi="Arial" w:cs="Arial"/>
          <w:b/>
          <w:bCs/>
          <w:sz w:val="21"/>
          <w:szCs w:val="21"/>
          <w:vertAlign w:val="subscript"/>
        </w:rPr>
        <w:t>3</w:t>
      </w:r>
      <w:r>
        <w:rPr>
          <w:rFonts w:ascii="Arial" w:eastAsia="Times New Roman" w:hAnsi="Arial" w:cs="Arial"/>
          <w:b/>
          <w:bCs/>
          <w:sz w:val="21"/>
          <w:szCs w:val="21"/>
        </w:rPr>
        <w:t xml:space="preserve"> (second project phase):</w:t>
      </w:r>
      <w:r>
        <w:rPr>
          <w:rFonts w:ascii="Arial" w:eastAsia="Times New Roman" w:hAnsi="Arial" w:cs="Arial"/>
          <w:sz w:val="21"/>
          <w:szCs w:val="21"/>
        </w:rPr>
        <w:t xml:space="preserve"> Densification and extension of the map; the cross-comparison Fe/Mn/Co separates covalency-driven from B-cation-specific effects (spin state, bandwidth) and tests the transferability of the descriptor.</w:t>
      </w:r>
    </w:p>
    <w:p w14:paraId="2CB169E7" w14:textId="77777777" w:rsidR="00655622" w:rsidRDefault="00655622">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14:paraId="2D3888AD" w14:textId="77777777" w:rsidR="00655622" w:rsidRDefault="00655622">
      <w:pPr>
        <w:pStyle w:val="Heading2"/>
        <w:rPr>
          <w:rFonts w:ascii="Arial" w:eastAsia="Times New Roman" w:hAnsi="Arial" w:cs="Arial"/>
        </w:rPr>
      </w:pPr>
      <w:r>
        <w:rPr>
          <w:rFonts w:ascii="Arial" w:eastAsia="Times New Roman" w:hAnsi="Arial" w:cs="Arial"/>
        </w:rPr>
        <w:t>2.4  Work programme</w:t>
      </w:r>
    </w:p>
    <w:p w14:paraId="6CE032CE" w14:textId="77777777" w:rsidR="00655622" w:rsidRDefault="00655622">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700A007E" w14:textId="77777777" w:rsidR="00655622" w:rsidRDefault="00655622">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during growth and cool-down; structural characterisation (XRD/reciprocal space maps for the strain state, AFM for terrace morphology); basic electrical characterisation (transport, Hall). Series 1 starts with a decisive head start: the growth windows and the XAS covalency scale of the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pilot series are already established from the applicant’s Feodor Lynen project [E4]; WP1 reproduces the series in the group’s own infrastructure and extends it.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p>
    <w:p w14:paraId="4AC1E51F" w14:textId="77777777" w:rsidR="00655622" w:rsidRDefault="00655622">
      <w:pPr>
        <w:pStyle w:val="Heading3"/>
        <w:rPr>
          <w:rFonts w:ascii="Arial" w:eastAsia="Times New Roman" w:hAnsi="Arial" w:cs="Arial"/>
        </w:rPr>
      </w:pPr>
      <w:r>
        <w:rPr>
          <w:rFonts w:ascii="Arial" w:eastAsia="Times New Roman" w:hAnsi="Arial" w:cs="Arial"/>
        </w:rPr>
        <w:t>WP2 – Device integration (doctoral researcher 2, supported by group leader; years 1–5)</w:t>
      </w:r>
    </w:p>
    <w:p w14:paraId="0B7FC024" w14:textId="77777777" w:rsidR="00655622" w:rsidRDefault="00655622">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3EFACB71" w14:textId="77777777" w:rsidR="00655622" w:rsidRDefault="00655622">
      <w:pPr>
        <w:pStyle w:val="Heading3"/>
        <w:rPr>
          <w:rFonts w:ascii="Arial" w:eastAsia="Times New Roman" w:hAnsi="Arial" w:cs="Arial"/>
        </w:rPr>
      </w:pPr>
      <w:r>
        <w:rPr>
          <w:rFonts w:ascii="Arial" w:eastAsia="Times New Roman" w:hAnsi="Arial" w:cs="Arial"/>
        </w:rPr>
        <w:t>WP3 – Memristive characterisation (doctoral researcher 2; years 2–6)</w:t>
      </w:r>
    </w:p>
    <w:p w14:paraId="365B87E4" w14:textId="77777777" w:rsidR="00655622" w:rsidRDefault="00655622">
      <w:pPr>
        <w:pStyle w:val="NormalWeb"/>
        <w:rPr>
          <w:rFonts w:ascii="Arial" w:hAnsi="Arial" w:cs="Arial"/>
          <w:sz w:val="21"/>
          <w:szCs w:val="21"/>
        </w:rPr>
      </w:pPr>
      <w:r>
        <w:rPr>
          <w:rFonts w:ascii="Arial" w:hAnsi="Arial" w:cs="Arial"/>
          <w:sz w:val="21"/>
          <w:szCs w:val="21"/>
        </w:rPr>
        <w:t xml:space="preserve">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7079077F" w14:textId="77777777" w:rsidR="00655622" w:rsidRDefault="00655622">
      <w:pPr>
        <w:pStyle w:val="Heading3"/>
        <w:rPr>
          <w:rFonts w:ascii="Arial" w:eastAsia="Times New Roman" w:hAnsi="Arial" w:cs="Arial"/>
        </w:rPr>
      </w:pPr>
      <w:r>
        <w:rPr>
          <w:rFonts w:ascii="Arial" w:eastAsia="Times New Roman" w:hAnsi="Arial" w:cs="Arial"/>
        </w:rPr>
        <w:t xml:space="preserve">WP4 – X-ray absorption spectroscopy (doctoral researcher 1, group leader; years 2–6)</w:t>
      </w:r>
    </w:p>
    <w:p w14:paraId="6E2192E3" w14:textId="77777777" w:rsidR="00655622" w:rsidRDefault="00655622">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p>
    <w:p w14:paraId="190D0322" w14:textId="77777777" w:rsidR="00655622" w:rsidRDefault="00655622">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233DDBC9" w14:textId="77777777" w:rsidR="00655622" w:rsidRDefault="00655622">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(e.g. from the nickelate or double-perovskite family), quantitative prediction, synthesis and test.</w:t>
      </w:r>
    </w:p>
    <w:p w14:paraId="17257CD9" w14:textId="77777777" w:rsidR="00655622" w:rsidRDefault="00655622">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71830AA4"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33479C"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E4ED6AF"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18EB518"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AC61210"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BAFE06D"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541C17E"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6A8B70B"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031B3C8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3C3A2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8EC3E7"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FE4C6F"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C71E29"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DCCA96"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F549F1A"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6894A4" w14:textId="77777777" w:rsidR="00655622" w:rsidRDefault="00655622">
            <w:pPr>
              <w:spacing w:before="120" w:after="200"/>
              <w:jc w:val="center"/>
              <w:rPr>
                <w:rFonts w:ascii="Arial" w:eastAsia="Times New Roman" w:hAnsi="Arial" w:cs="Arial"/>
                <w:sz w:val="19"/>
                <w:szCs w:val="19"/>
              </w:rPr>
            </w:pPr>
          </w:p>
        </w:tc>
      </w:tr>
      <w:tr w:rsidR="00000000" w14:paraId="2A70E3F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6ED147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377094"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E6A998"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04FF2A"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BDCB06"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2253B5"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F23F3D" w14:textId="77777777" w:rsidR="00655622" w:rsidRDefault="00655622">
            <w:pPr>
              <w:spacing w:before="120" w:after="200"/>
              <w:jc w:val="center"/>
              <w:rPr>
                <w:rFonts w:ascii="Arial" w:eastAsia="Times New Roman" w:hAnsi="Arial" w:cs="Arial"/>
                <w:sz w:val="19"/>
                <w:szCs w:val="19"/>
              </w:rPr>
            </w:pPr>
          </w:p>
        </w:tc>
      </w:tr>
      <w:tr w:rsidR="00000000" w14:paraId="64642D5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7898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92C181" w14:textId="77777777" w:rsidR="00655622" w:rsidRDefault="006556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1628B6"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24A675"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12B643"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E7076D"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14A754"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2F3573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2C24B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887C16" w14:textId="77777777" w:rsidR="00655622" w:rsidRDefault="006556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0D0D1D"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BD096C"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1F3FB0"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DB1967"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6A75C9"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2E513DF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8E0A3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2B6C73" w14:textId="77777777" w:rsidR="00655622" w:rsidRDefault="006556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EC4AA6" w14:textId="77777777" w:rsidR="00655622" w:rsidRDefault="006556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F8981A"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EFD01A"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0F20D5"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6B4561" w14:textId="77777777" w:rsidR="00655622" w:rsidRDefault="0065562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7DC3924F" w14:textId="77777777" w:rsidR="00655622" w:rsidRDefault="00655622">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38DE1F08"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2D0DB05"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16F29DB"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0A584A3"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014A832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594A2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7D8DC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B4270B"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57813BF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9529F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7772D9"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7DC1D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0237B6B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E5CEFE"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42A77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1F34C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0C024B8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68715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D089D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45BA2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1535EEB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18FF3E"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04CF0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863F4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0CDBA01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14BD19"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A74C43"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257A8F"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60992131" w14:textId="77777777" w:rsidR="00655622" w:rsidRDefault="00655622">
      <w:pPr>
        <w:pStyle w:val="Heading2"/>
        <w:rPr>
          <w:rFonts w:ascii="Arial" w:eastAsia="Times New Roman" w:hAnsi="Arial" w:cs="Arial"/>
        </w:rPr>
      </w:pPr>
      <w:r>
        <w:rPr>
          <w:rFonts w:ascii="Arial" w:eastAsia="Times New Roman" w:hAnsi="Arial" w:cs="Arial"/>
        </w:rPr>
        <w:t>2.6  Handling of research data</w:t>
      </w:r>
    </w:p>
    <w:p w14:paraId="6D9B2D4A" w14:textId="77777777" w:rsidR="00655622" w:rsidRDefault="00655622">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75255D93" w14:textId="77777777" w:rsidR="00655622" w:rsidRDefault="00655622">
      <w:pPr>
        <w:pStyle w:val="Heading2"/>
        <w:rPr>
          <w:rFonts w:ascii="Arial" w:eastAsia="Times New Roman" w:hAnsi="Arial" w:cs="Arial"/>
        </w:rPr>
      </w:pPr>
      <w:r>
        <w:rPr>
          <w:rFonts w:ascii="Arial" w:eastAsia="Times New Roman" w:hAnsi="Arial" w:cs="Arial"/>
        </w:rPr>
        <w:t>2.7  Relevance and exploitation perspective</w:t>
      </w:r>
    </w:p>
    <w:p w14:paraId="3583CD9C" w14:textId="77777777" w:rsidR="00655622" w:rsidRDefault="00655622">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1C73A13B" w14:textId="77777777" w:rsidR="00655622" w:rsidRDefault="00655622">
      <w:pPr>
        <w:pStyle w:val="Heading1"/>
        <w:pageBreakBefore/>
        <w:rPr>
          <w:rFonts w:ascii="Arial" w:eastAsia="Times New Roman" w:hAnsi="Arial" w:cs="Arial"/>
        </w:rPr>
      </w:pPr>
      <w:r>
        <w:rPr>
          <w:rFonts w:ascii="Arial" w:eastAsia="Times New Roman" w:hAnsi="Arial" w:cs="Arial"/>
        </w:rPr>
        <w:t>3  Bibliography</w:t>
      </w:r>
    </w:p>
    <w:p w14:paraId="1AFD19D2" w14:textId="77777777" w:rsidR="00655622" w:rsidRDefault="00655622">
      <w:pPr>
        <w:spacing w:after="60"/>
        <w:ind w:hanging="480"/>
        <w:divId w:val="104085907"/>
        <w:rPr>
          <w:rFonts w:ascii="Arial" w:hAnsi="Arial" w:cs="Arial"/>
          <w:sz w:val="18"/>
          <w:szCs w:val="18"/>
        </w:rPr>
      </w:pPr>
      <w:r>
        <w:rPr>
          <w:rFonts w:ascii="Arial" w:hAnsi="Arial" w:cs="Arial"/>
          <w:sz w:val="18"/>
          <w:szCs w:val="18"/>
        </w:rPr>
        <w:t>[1] R. Waser, M. Aono, Nanoionics-based resistive switching memories. Nature Materials 6, 833–840 (2007).</w:t>
      </w:r>
    </w:p>
    <w:p w14:paraId="7AD44867" w14:textId="77777777" w:rsidR="00655622" w:rsidRDefault="00655622">
      <w:pPr>
        <w:spacing w:after="60"/>
        <w:ind w:hanging="480"/>
        <w:divId w:val="104085907"/>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3CEAA3AF" w14:textId="77777777" w:rsidR="00655622" w:rsidRDefault="00655622">
      <w:pPr>
        <w:spacing w:after="60"/>
        <w:ind w:hanging="480"/>
        <w:divId w:val="104085907"/>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10964B9E" w14:textId="77777777" w:rsidR="00655622" w:rsidRDefault="00655622">
      <w:pPr>
        <w:spacing w:after="60"/>
        <w:ind w:hanging="480"/>
        <w:divId w:val="104085907"/>
        <w:rPr>
          <w:rFonts w:ascii="Arial" w:hAnsi="Arial" w:cs="Arial"/>
          <w:sz w:val="18"/>
          <w:szCs w:val="18"/>
        </w:rPr>
      </w:pPr>
      <w:r>
        <w:rPr>
          <w:rFonts w:ascii="Arial" w:hAnsi="Arial" w:cs="Arial"/>
          <w:sz w:val="18"/>
          <w:szCs w:val="18"/>
        </w:rPr>
        <w:t>[4] A. Sawa, Resistive switching in transition metal oxides. Materials Today 11(6), 28–36 (2008).</w:t>
      </w:r>
    </w:p>
    <w:p w14:paraId="70DF941C" w14:textId="77777777" w:rsidR="00655622" w:rsidRDefault="00655622">
      <w:pPr>
        <w:spacing w:after="60"/>
        <w:ind w:hanging="480"/>
        <w:divId w:val="104085907"/>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4C41DA5A" w14:textId="77777777" w:rsidR="00655622" w:rsidRDefault="00655622">
      <w:pPr>
        <w:spacing w:after="60"/>
        <w:ind w:hanging="480"/>
        <w:divId w:val="104085907"/>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156282FE" w14:textId="77777777" w:rsidR="00655622" w:rsidRDefault="00655622">
      <w:pPr>
        <w:spacing w:after="60"/>
        <w:ind w:hanging="480"/>
        <w:divId w:val="104085907"/>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7F480B02" w14:textId="77777777" w:rsidR="00655622" w:rsidRDefault="00655622">
      <w:pPr>
        <w:spacing w:after="60"/>
        <w:ind w:hanging="480"/>
        <w:divId w:val="104085907"/>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09DB4989" w14:textId="77777777" w:rsidR="00655622" w:rsidRDefault="00655622">
      <w:pPr>
        <w:spacing w:after="60"/>
        <w:ind w:hanging="480"/>
        <w:divId w:val="104085907"/>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3CA0BF59" w14:textId="77777777" w:rsidR="00655622" w:rsidRDefault="00655622">
      <w:pPr>
        <w:spacing w:after="60"/>
        <w:ind w:hanging="480"/>
        <w:divId w:val="104085907"/>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7DD9841B" w14:textId="77777777" w:rsidR="00655622" w:rsidRDefault="00655622">
      <w:pPr>
        <w:spacing w:after="60"/>
        <w:ind w:hanging="480"/>
        <w:divId w:val="104085907"/>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1CAE0AA7" w14:textId="77777777" w:rsidR="00655622" w:rsidRDefault="00655622">
      <w:pPr>
        <w:spacing w:after="60"/>
        <w:ind w:hanging="480"/>
        <w:divId w:val="104085907"/>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5BDB7279" w14:textId="77777777" w:rsidR="00655622" w:rsidRDefault="00655622">
      <w:pPr>
        <w:spacing w:after="60"/>
        <w:ind w:hanging="480"/>
        <w:divId w:val="104085907"/>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0CC36294" w14:textId="77777777" w:rsidR="00655622" w:rsidRDefault="00655622">
      <w:pPr>
        <w:spacing w:after="60"/>
        <w:ind w:hanging="480"/>
        <w:divId w:val="104085907"/>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3EA97A58" w14:textId="77777777" w:rsidR="00655622" w:rsidRDefault="00655622">
      <w:pPr>
        <w:spacing w:after="60"/>
        <w:ind w:hanging="480"/>
        <w:divId w:val="104085907"/>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06C74CC0" w14:textId="77777777" w:rsidR="00655622" w:rsidRDefault="00655622">
      <w:pPr>
        <w:spacing w:after="60"/>
        <w:ind w:hanging="480"/>
        <w:divId w:val="104085907"/>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26D81FDE" w14:textId="77777777" w:rsidR="00655622" w:rsidRDefault="00655622">
      <w:pPr>
        <w:spacing w:after="60"/>
        <w:ind w:hanging="480"/>
        <w:divId w:val="104085907"/>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4C4B5161" w14:textId="77777777" w:rsidR="00655622" w:rsidRDefault="00655622">
      <w:pPr>
        <w:spacing w:after="60"/>
        <w:ind w:hanging="480"/>
        <w:divId w:val="104085907"/>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007DC5E4" w14:textId="77777777" w:rsidR="00655622" w:rsidRDefault="00655622">
      <w:pPr>
        <w:spacing w:after="60"/>
        <w:ind w:hanging="480"/>
        <w:divId w:val="104085907"/>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741D7286" w14:textId="77777777" w:rsidR="00655622" w:rsidRDefault="00655622">
      <w:pPr>
        <w:spacing w:after="60"/>
        <w:ind w:hanging="480"/>
        <w:divId w:val="104085907"/>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28BF6F73" w14:textId="77777777" w:rsidR="00655622" w:rsidRDefault="00655622">
      <w:pPr>
        <w:spacing w:after="60"/>
        <w:ind w:hanging="480"/>
        <w:divId w:val="104085907"/>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53235C07" w14:textId="77777777" w:rsidR="00655622" w:rsidRDefault="00655622">
      <w:pPr>
        <w:spacing w:after="60"/>
        <w:ind w:hanging="480"/>
        <w:divId w:val="104085907"/>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0E8E5CCD" w14:textId="77777777" w:rsidR="00655622" w:rsidRDefault="00655622">
      <w:pPr>
        <w:spacing w:after="60"/>
        <w:ind w:hanging="480"/>
        <w:divId w:val="104085907"/>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068AD94D" w14:textId="77777777" w:rsidR="00655622" w:rsidRDefault="00655622">
      <w:pPr>
        <w:spacing w:after="60"/>
        <w:ind w:hanging="480"/>
        <w:divId w:val="104085907"/>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17BF14A0" w14:textId="77777777" w:rsidR="00655622" w:rsidRDefault="00655622">
      <w:pPr>
        <w:spacing w:after="60"/>
        <w:ind w:hanging="480"/>
        <w:divId w:val="104085907"/>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1886F3B4" w14:textId="77777777" w:rsidR="00655622" w:rsidRDefault="00655622">
      <w:pPr>
        <w:spacing w:after="60"/>
        <w:ind w:hanging="480"/>
        <w:divId w:val="104085907"/>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0C3FEF00" w14:textId="77777777" w:rsidR="00655622" w:rsidRDefault="00655622">
      <w:pPr>
        <w:spacing w:after="60"/>
        <w:ind w:hanging="480"/>
        <w:divId w:val="104085907"/>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0BC085BB" w14:textId="77777777" w:rsidR="00655622" w:rsidRDefault="00655622">
      <w:pPr>
        <w:spacing w:after="60"/>
        <w:ind w:hanging="480"/>
        <w:divId w:val="104085907"/>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73D70948" w14:textId="77777777" w:rsidR="00655622" w:rsidRDefault="00655622">
      <w:pPr>
        <w:spacing w:after="60"/>
        <w:ind w:hanging="480"/>
        <w:divId w:val="104085907"/>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1B8C11C2" w14:textId="77777777" w:rsidR="00655622" w:rsidRDefault="00655622">
      <w:pPr>
        <w:spacing w:after="60"/>
        <w:ind w:hanging="480"/>
        <w:divId w:val="104085907"/>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67920A07" w14:textId="77777777" w:rsidR="00655622" w:rsidRDefault="00655622">
      <w:pPr>
        <w:spacing w:after="60"/>
        <w:ind w:hanging="480"/>
        <w:divId w:val="104085907"/>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6897A47A" w14:textId="77777777" w:rsidR="00655622" w:rsidRDefault="00655622">
      <w:pPr>
        <w:spacing w:after="60"/>
        <w:ind w:hanging="480"/>
        <w:divId w:val="104085907"/>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1C8DD8C7" w14:textId="77777777" w:rsidR="00655622" w:rsidRDefault="00655622">
      <w:pPr>
        <w:spacing w:after="60"/>
        <w:ind w:hanging="480"/>
        <w:divId w:val="104085907"/>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08C218D2" w14:textId="77777777" w:rsidR="00655622" w:rsidRDefault="00655622">
      <w:pPr>
        <w:spacing w:after="60"/>
        <w:ind w:hanging="480"/>
        <w:divId w:val="104085907"/>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193EF18E" w14:textId="77777777" w:rsidR="00655622" w:rsidRDefault="00655622">
      <w:pPr>
        <w:spacing w:after="60"/>
        <w:ind w:hanging="480"/>
        <w:divId w:val="104085907"/>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1EC59015" w14:textId="77777777" w:rsidR="00655622" w:rsidRDefault="00655622">
      <w:pPr>
        <w:spacing w:after="60"/>
        <w:ind w:hanging="480"/>
        <w:divId w:val="104085907"/>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1C3531A6" w14:textId="77777777" w:rsidR="00655622" w:rsidRDefault="00655622">
      <w:pPr>
        <w:spacing w:after="60"/>
        <w:ind w:hanging="480"/>
        <w:divId w:val="104085907"/>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3FBE73BD" w14:textId="77777777" w:rsidR="00655622" w:rsidRDefault="00655622">
      <w:pPr>
        <w:spacing w:after="60"/>
        <w:ind w:hanging="480"/>
        <w:divId w:val="104085907"/>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086AE99D" w14:textId="77777777" w:rsidR="00655622" w:rsidRDefault="00655622">
      <w:pPr>
        <w:spacing w:after="60"/>
        <w:ind w:hanging="480"/>
        <w:divId w:val="104085907"/>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0890D83F" w14:textId="77777777" w:rsidR="00655622" w:rsidRDefault="00655622">
      <w:pPr>
        <w:spacing w:after="60"/>
        <w:ind w:hanging="480"/>
        <w:divId w:val="104085907"/>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37C4A2CF" w14:textId="77777777" w:rsidR="00655622" w:rsidRDefault="00655622">
      <w:pPr>
        <w:spacing w:after="60"/>
        <w:ind w:hanging="480"/>
        <w:divId w:val="104085907"/>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0DA6A257" w14:textId="77777777" w:rsidR="00655622" w:rsidRDefault="00655622">
      <w:pPr>
        <w:spacing w:after="60"/>
        <w:ind w:hanging="480"/>
        <w:divId w:val="104085907"/>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4CAE8D7D" w14:textId="77777777" w:rsidR="00655622" w:rsidRDefault="00655622">
      <w:pPr>
        <w:spacing w:after="60"/>
        <w:ind w:hanging="480"/>
        <w:divId w:val="104085907"/>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5F76E2DA" w14:textId="77777777" w:rsidR="00655622" w:rsidRDefault="00655622">
      <w:pPr>
        <w:spacing w:after="60"/>
        <w:ind w:hanging="480"/>
        <w:divId w:val="104085907"/>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6EE9BB5B" w14:textId="77777777" w:rsidR="00655622" w:rsidRDefault="00655622">
      <w:pPr>
        <w:spacing w:after="60"/>
        <w:ind w:hanging="480"/>
        <w:divId w:val="104085907"/>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17C57D0F" w14:textId="77777777" w:rsidR="00655622" w:rsidRDefault="00655622">
      <w:pPr>
        <w:spacing w:after="60"/>
        <w:ind w:hanging="480"/>
        <w:divId w:val="104085907"/>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0E5B6A9D" w14:textId="77777777" w:rsidR="00655622" w:rsidRDefault="00655622">
      <w:pPr>
        <w:spacing w:after="60"/>
        <w:ind w:hanging="480"/>
        <w:divId w:val="104085907"/>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6415CB6B" w14:textId="77777777" w:rsidR="00655622" w:rsidRDefault="00655622">
      <w:pPr>
        <w:spacing w:after="60"/>
        <w:ind w:hanging="480"/>
        <w:divId w:val="104085907"/>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3329C587" w14:textId="77777777" w:rsidR="00655622" w:rsidRDefault="00655622">
      <w:pPr>
        <w:spacing w:after="60"/>
        <w:ind w:hanging="480"/>
        <w:divId w:val="104085907"/>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648B96F8" w14:textId="77777777" w:rsidR="00655622" w:rsidRDefault="00655622">
      <w:pPr>
        <w:spacing w:after="60"/>
        <w:ind w:hanging="480"/>
        <w:divId w:val="104085907"/>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5A2B9A82" w14:textId="77777777" w:rsidR="00655622" w:rsidRDefault="00655622">
      <w:pPr>
        <w:spacing w:after="60"/>
        <w:ind w:hanging="480"/>
        <w:divId w:val="104085907"/>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55D35513" w14:textId="77777777" w:rsidR="00655622" w:rsidRDefault="00655622">
      <w:pPr>
        <w:spacing w:after="60"/>
        <w:ind w:hanging="480"/>
        <w:divId w:val="104085907"/>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2773B0AA" w14:textId="77777777" w:rsidR="00655622" w:rsidRDefault="00655622">
      <w:pPr>
        <w:spacing w:after="60"/>
        <w:ind w:hanging="480"/>
        <w:divId w:val="104085907"/>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1C4D3FC7" w14:textId="77777777" w:rsidR="00655622" w:rsidRDefault="00655622">
      <w:pPr>
        <w:spacing w:after="60"/>
        <w:ind w:hanging="480"/>
        <w:divId w:val="104085907"/>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5A947CD9" w14:textId="77777777" w:rsidR="00655622" w:rsidRDefault="00655622">
      <w:pPr>
        <w:spacing w:after="60"/>
        <w:ind w:hanging="480"/>
        <w:divId w:val="104085907"/>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0D867C95" w14:textId="77777777" w:rsidR="00655622" w:rsidRDefault="00655622">
      <w:pPr>
        <w:spacing w:after="60"/>
        <w:ind w:hanging="480"/>
        <w:divId w:val="104085907"/>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7B661B3E" w14:textId="77777777" w:rsidR="00655622" w:rsidRDefault="00655622">
      <w:pPr>
        <w:spacing w:after="60"/>
        <w:ind w:hanging="480"/>
        <w:divId w:val="104085907"/>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173025CB" w14:textId="77777777" w:rsidR="00655622" w:rsidRDefault="00655622">
      <w:pPr>
        <w:spacing w:after="60"/>
        <w:ind w:hanging="480"/>
        <w:divId w:val="104085907"/>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2D26916C" w14:textId="77777777" w:rsidR="00655622" w:rsidRDefault="00655622">
      <w:pPr>
        <w:spacing w:after="60"/>
        <w:ind w:hanging="480"/>
        <w:divId w:val="104085907"/>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3BA5AA4F" w14:textId="77777777" w:rsidR="00655622" w:rsidRDefault="00655622">
      <w:pPr>
        <w:spacing w:after="60"/>
        <w:ind w:hanging="480"/>
        <w:divId w:val="104085907"/>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5D837CE0" w14:textId="77777777" w:rsidR="00655622" w:rsidRDefault="00655622">
      <w:pPr>
        <w:spacing w:after="60"/>
        <w:ind w:hanging="480"/>
        <w:divId w:val="104085907"/>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185A97F6" w14:textId="77777777" w:rsidR="00655622" w:rsidRDefault="00655622">
      <w:pPr>
        <w:spacing w:after="60"/>
        <w:ind w:hanging="480"/>
        <w:divId w:val="104085907"/>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66847223" w14:textId="77777777" w:rsidR="00655622" w:rsidRDefault="00655622">
      <w:pPr>
        <w:spacing w:after="60"/>
        <w:ind w:hanging="480"/>
        <w:divId w:val="104085907"/>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021B8448" w14:textId="77777777" w:rsidR="00655622" w:rsidRDefault="00655622">
      <w:pPr>
        <w:spacing w:after="60"/>
        <w:ind w:hanging="480"/>
        <w:divId w:val="104085907"/>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74AE7048" w14:textId="77777777" w:rsidR="00655622" w:rsidRDefault="00655622">
      <w:pPr>
        <w:spacing w:after="60"/>
        <w:ind w:hanging="480"/>
        <w:divId w:val="104085907"/>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631667DA" w14:textId="77777777" w:rsidR="00655622" w:rsidRDefault="00655622">
      <w:pPr>
        <w:spacing w:after="60"/>
        <w:ind w:hanging="480"/>
        <w:divId w:val="104085907"/>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6D9B041D" w14:textId="77777777" w:rsidR="00655622" w:rsidRDefault="00655622">
      <w:pPr>
        <w:spacing w:after="60"/>
        <w:ind w:hanging="480"/>
        <w:divId w:val="104085907"/>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EF9B848" w14:textId="77777777" w:rsidR="00655622" w:rsidRDefault="00655622">
      <w:pPr>
        <w:spacing w:after="60"/>
        <w:ind w:hanging="480"/>
        <w:divId w:val="104085907"/>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7D1F83C9" w14:textId="77777777" w:rsidR="00655622" w:rsidRDefault="00655622">
      <w:pPr>
        <w:spacing w:after="60"/>
        <w:ind w:hanging="480"/>
        <w:divId w:val="104085907"/>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3D0FA9EF" w14:textId="77777777" w:rsidR="00655622" w:rsidRDefault="00655622">
      <w:pPr>
        <w:spacing w:after="60"/>
        <w:ind w:hanging="480"/>
        <w:divId w:val="104085907"/>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1CF70FAA" w14:textId="77777777" w:rsidR="00655622" w:rsidRDefault="00655622">
      <w:pPr>
        <w:spacing w:after="60"/>
        <w:ind w:hanging="480"/>
        <w:divId w:val="104085907"/>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4D20BE6E" w14:textId="77777777" w:rsidR="00655622" w:rsidRDefault="00655622">
      <w:pPr>
        <w:spacing w:after="60"/>
        <w:ind w:hanging="480"/>
        <w:divId w:val="104085907"/>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7C365B59" w14:textId="77777777" w:rsidR="00655622" w:rsidRDefault="00655622">
      <w:pPr>
        <w:spacing w:after="60"/>
        <w:ind w:hanging="480"/>
        <w:divId w:val="104085907"/>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4C5B59EC" w14:textId="77777777" w:rsidR="00655622" w:rsidRDefault="00655622">
      <w:pPr>
        <w:spacing w:after="60"/>
        <w:ind w:hanging="480"/>
        <w:divId w:val="104085907"/>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67957E7C" w14:textId="77777777" w:rsidR="00655622" w:rsidRDefault="00655622">
      <w:pPr>
        <w:spacing w:after="60"/>
        <w:ind w:hanging="480"/>
        <w:divId w:val="104085907"/>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6D224D63" w14:textId="77777777" w:rsidR="00655622" w:rsidRDefault="00655622">
      <w:pPr>
        <w:spacing w:after="60"/>
        <w:ind w:hanging="480"/>
        <w:divId w:val="104085907"/>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57FFAFD9" w14:textId="77777777" w:rsidR="00655622" w:rsidRDefault="00655622">
      <w:pPr>
        <w:spacing w:after="60"/>
        <w:ind w:hanging="480"/>
        <w:divId w:val="104085907"/>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0709EC6E" w14:textId="77777777" w:rsidR="00655622" w:rsidRDefault="00655622">
      <w:pPr>
        <w:spacing w:after="60"/>
        <w:ind w:hanging="480"/>
        <w:divId w:val="104085907"/>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22BFEE36" w14:textId="77777777" w:rsidR="00655622" w:rsidRDefault="00655622">
      <w:pPr>
        <w:spacing w:after="60"/>
        <w:ind w:hanging="480"/>
        <w:divId w:val="104085907"/>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38225493" w14:textId="77777777" w:rsidR="00655622" w:rsidRDefault="00655622">
      <w:pPr>
        <w:spacing w:after="60"/>
        <w:ind w:hanging="480"/>
        <w:divId w:val="104085907"/>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pPr>
        <w:spacing w:after="60"/>
        <w:ind w:hanging="480"/>
        <w:divId w:val="104085907"/>
        <w:rPr>
          <w:rFonts w:ascii="Arial" w:hAnsi="Arial" w:cs="Arial"/>
          <w:sz w:val="18"/>
          <w:szCs w:val="18"/>
        </w:rPr>
      </w:pPr>
      <w:r>
        <w:rPr>
          <w:rFonts w:ascii="Arial" w:hAnsi="Arial" w:cs="Arial"/>
          <w:sz w:val="18"/>
          <w:szCs w:val="18"/>
        </w:rPr>
        <w:t xml:space="preserve">[81] A. Sarantopoulos, K. Lange, F. Rivadulla, S. Menzel, R. Dittmann, Resistive Switching Acceleration Induced by Thermal Confinement. Advanced Electronic Materials 11, 2400555 (2025).</w:t>
      </w:r>
    </w:p>
    <w:p>
      <w:pPr>
        <w:spacing w:after="60"/>
        <w:ind w:hanging="480"/>
        <w:divId w:val="104085907"/>
        <w:rPr>
          <w:rFonts w:ascii="Arial" w:hAnsi="Arial" w:cs="Arial"/>
          <w:sz w:val="18"/>
          <w:szCs w:val="18"/>
        </w:rPr>
      </w:pPr>
      <w:r>
        <w:rPr>
          <w:rFonts w:ascii="Arial" w:hAnsi="Arial" w:cs="Arial"/>
          <w:sz w:val="18"/>
          <w:szCs w:val="18"/>
        </w:rPr>
        <w:t xml:space="preserve">[82] M. Mladenović, M. Kaniselvan, C. Weilenmann, A. Emboras, M. Luisier, Termination-Dependent Resistive Switching in SrTiO3 Valence Change Memory Cells. ACS Applied Electronic Materials 7, 2839–2847 (2025).</w:t>
      </w:r>
    </w:p>
    <w:p>
      <w:pPr>
        <w:spacing w:after="60"/>
        <w:ind w:hanging="480"/>
        <w:divId w:val="104085907"/>
        <w:rPr>
          <w:rFonts w:ascii="Arial" w:hAnsi="Arial" w:cs="Arial"/>
          <w:sz w:val="18"/>
          <w:szCs w:val="18"/>
        </w:rPr>
      </w:pPr>
      <w:r>
        <w:rPr>
          <w:rFonts w:ascii="Arial" w:hAnsi="Arial" w:cs="Arial"/>
          <w:sz w:val="18"/>
          <w:szCs w:val="18"/>
        </w:rPr>
        <w:t xml:space="preserve">[83] K.-J. Lee, C.-H. Wu, C.-J. Lee, D.-W. Chou, N.-F. Wang, Y.-H. Wang, Reset-Voltage Controlled Resistance-State and Applications of Forming-Free Fe-Doped SrTiO3 Thin-Film Memristor. Materials 17, 5021 (2024).</w:t>
      </w:r>
    </w:p>
    <w:p>
      <w:pPr>
        <w:spacing w:after="60"/>
        <w:ind w:hanging="480"/>
        <w:divId w:val="104085907"/>
        <w:rPr>
          <w:rFonts w:ascii="Arial" w:hAnsi="Arial" w:cs="Arial"/>
          <w:sz w:val="18"/>
          <w:szCs w:val="18"/>
        </w:rPr>
      </w:pPr>
      <w:r>
        <w:rPr>
          <w:rFonts w:ascii="Arial" w:hAnsi="Arial" w:cs="Arial"/>
          <w:sz w:val="18"/>
          <w:szCs w:val="18"/>
        </w:rPr>
        <w:t xml:space="preserve">[84] A. Schulman, H. Huhtinen, P. Paturi, Manganite memristive devices: recent progress and emerging opportunities. Journal of Physics D: Applied Physics 57, 422001 (2024).</w:t>
      </w:r>
    </w:p>
    <w:p>
      <w:pPr>
        <w:spacing w:after="60"/>
        <w:ind w:hanging="480"/>
        <w:divId w:val="104085907"/>
        <w:rPr>
          <w:rFonts w:ascii="Arial" w:hAnsi="Arial" w:cs="Arial"/>
          <w:sz w:val="18"/>
          <w:szCs w:val="18"/>
        </w:rPr>
      </w:pPr>
      <w:r>
        <w:rPr>
          <w:rFonts w:ascii="Arial" w:hAnsi="Arial" w:cs="Arial"/>
          <w:sz w:val="18"/>
          <w:szCs w:val="18"/>
        </w:rPr>
        <w:t xml:space="preserve">[85]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104085907"/>
        <w:rPr>
          <w:rFonts w:ascii="Arial" w:hAnsi="Arial" w:cs="Arial"/>
          <w:sz w:val="18"/>
          <w:szCs w:val="18"/>
        </w:rPr>
      </w:pPr>
      <w:r>
        <w:rPr>
          <w:rFonts w:ascii="Arial" w:hAnsi="Arial" w:cs="Arial"/>
          <w:sz w:val="18"/>
          <w:szCs w:val="18"/>
        </w:rPr>
        <w:t xml:space="preserve">[86] J. A. Santana, J. T. Krogel, P. R. C. Kent, F. A. Reboredo, Diffusion quantum Monte Carlo calculations of SrFeO3 and LaFeO3. The Journal of Chemical Physics 147, 034701 (2017).</w:t>
      </w:r>
    </w:p>
    <w:p>
      <w:pPr>
        <w:spacing w:after="60"/>
        <w:ind w:hanging="480"/>
        <w:divId w:val="104085907"/>
        <w:rPr>
          <w:rFonts w:ascii="Arial" w:hAnsi="Arial" w:cs="Arial"/>
          <w:sz w:val="18"/>
          <w:szCs w:val="18"/>
        </w:rPr>
      </w:pPr>
      <w:r>
        <w:rPr>
          <w:rFonts w:ascii="Arial" w:hAnsi="Arial" w:cs="Arial"/>
          <w:sz w:val="18"/>
          <w:szCs w:val="18"/>
        </w:rPr>
        <w:t xml:space="preserve">[87] C. Song, H. Luo, J. Xu, Y. Song, Q. Hu, Density functional theory study on conduction mechanisms in LaFeO3 nanofibers for resistive random access memory. Ionics 32, 2427–2437 (2026).</w:t>
      </w:r>
    </w:p>
    <w:p>
      <w:pPr>
        <w:spacing w:after="60"/>
        <w:ind w:hanging="480"/>
        <w:divId w:val="104085907"/>
        <w:rPr>
          <w:rFonts w:ascii="Arial" w:hAnsi="Arial" w:cs="Arial"/>
          <w:sz w:val="18"/>
          <w:szCs w:val="18"/>
        </w:rPr>
      </w:pPr>
      <w:r>
        <w:rPr>
          <w:rFonts w:ascii="Arial" w:hAnsi="Arial" w:cs="Arial"/>
          <w:sz w:val="18"/>
          <w:szCs w:val="18"/>
        </w:rPr>
        <w:t xml:space="preserve">[88] S. Kunwar et al., Reconfigurable Resistive Switching in VO2/La0.7Sr0.3MnO3/Al2O3 (0001) Memristive Devices for Neuromorphic Computing. ACS Applied Materials &amp; Interfaces 16, 19103–19111 (2024).</w:t>
      </w:r>
    </w:p>
    <w:p>
      <w:pPr>
        <w:spacing w:after="60"/>
        <w:ind w:hanging="480"/>
        <w:divId w:val="104085907"/>
        <w:rPr>
          <w:rFonts w:ascii="Arial" w:hAnsi="Arial" w:cs="Arial"/>
          <w:sz w:val="18"/>
          <w:szCs w:val="18"/>
        </w:rPr>
      </w:pPr>
      <w:r>
        <w:rPr>
          <w:rFonts w:ascii="Arial" w:hAnsi="Arial" w:cs="Arial"/>
          <w:sz w:val="18"/>
          <w:szCs w:val="18"/>
        </w:rPr>
        <w:t xml:space="preserve">[89] T. Kramer, M. Scherff, D. Mierwaldt, J. Hoffmann, C. Jooss, Role of oxygen vacancies for resistive switching in noble metal sandwiched Pr0.67Ca0.33MnO3-δ. Applied Physics Letters 110, 243502 (2017).</w:t>
      </w:r>
    </w:p>
    <w:p w14:paraId="181365C5" w14:textId="77777777" w:rsidR="00655622" w:rsidRDefault="00655622">
      <w:pPr>
        <w:pStyle w:val="Heading1"/>
        <w:pageBreakBefore/>
        <w:rPr>
          <w:rFonts w:ascii="Arial" w:eastAsia="Times New Roman" w:hAnsi="Arial" w:cs="Arial"/>
        </w:rPr>
      </w:pPr>
      <w:r>
        <w:rPr>
          <w:rFonts w:ascii="Arial" w:eastAsia="Times New Roman" w:hAnsi="Arial" w:cs="Arial"/>
        </w:rPr>
        <w:t>4  Requested Modules and Funds</w:t>
      </w:r>
    </w:p>
    <w:p w14:paraId="3B33EC4A" w14:textId="77777777" w:rsidR="00655622" w:rsidRDefault="00655622">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51FCB5CA" w14:textId="77777777" w:rsidR="00655622" w:rsidRDefault="00655622">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4EC20900"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6D6D73A"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B0BCBE6"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E9A0BBF"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6C18C62"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A3357F4"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76EFC8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E02B4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E91A5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A3288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956CF76"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61A47C"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1A484E8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EC54E2"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814647"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720C6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4519F01"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4DEB49"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BE061D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F94005"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19FBC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DBB8DB"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4FAE07"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D44823"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1F714F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159FE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A499C4"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ABD22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AA668F"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2D327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61B0A91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EC380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2F08E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75C9B4"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C7F049"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59D798"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532AAEA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541DD7"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09A151" w14:textId="77777777" w:rsidR="00655622" w:rsidRDefault="006556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7E5C98" w14:textId="77777777" w:rsidR="00655622" w:rsidRDefault="0065562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B30796" w14:textId="77777777" w:rsidR="00655622" w:rsidRDefault="0065562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36F390"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277A5618" w14:textId="77777777" w:rsidR="00655622" w:rsidRDefault="00655622">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1B459703" w14:textId="77777777" w:rsidR="00655622" w:rsidRDefault="00655622">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25AF9140"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7BEFBB8"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4CBB36F"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30BC818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641B9D"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844E4C"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7498146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C2735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D05D4D"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7C6A798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52E366"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EA73D4"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7EBE961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C65238"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4CFE25"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70903F6D" w14:textId="77777777" w:rsidR="00655622" w:rsidRDefault="00655622">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86350D1"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8DE216C"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CB50A92"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72263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202A3B"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00FE23"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0DD6115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4A36FC"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2C195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67F7ADF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647A3E"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B2807A"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5FDE585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DAFC36"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0A5EAA"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6FEF6DAC" w14:textId="77777777" w:rsidR="00655622" w:rsidRDefault="00655622">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4F4F538C" w14:textId="77777777" w:rsidR="00655622" w:rsidRDefault="00655622">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5B874314"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14509A3"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08F7BA5"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44070A6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2543CF"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A74B79"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03D25E9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268953"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6F1DA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35ECA26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83EAE0"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D65E4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3FAD2F2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1E97D1"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B2FD52"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2B8BB05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F7728A"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F203E1"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28F9F9FD" w14:textId="77777777" w:rsidR="00655622" w:rsidRDefault="00655622">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4C03F9E7"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8F831B5"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497BB95" w14:textId="77777777" w:rsidR="00655622" w:rsidRDefault="0065562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01C8ED8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96E44A"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C0CEC3"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1AAC2B2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4E047B"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0E9664"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54AE198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016E08"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E71F72"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4C0A9BF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1623F7"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6E7EFE"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38B00DA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0DDCFF"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E3F80F"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0E38E18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07731D" w14:textId="77777777" w:rsidR="00655622" w:rsidRDefault="00655622">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D7FE06"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15F0AEF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30DE79" w14:textId="77777777" w:rsidR="00655622" w:rsidRDefault="00655622">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D3870B" w14:textId="77777777" w:rsidR="00655622" w:rsidRDefault="00655622">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4D748714" w14:textId="77777777" w:rsidR="00655622" w:rsidRDefault="00655622">
      <w:pPr>
        <w:pStyle w:val="Heading1"/>
        <w:pageBreakBefore/>
        <w:rPr>
          <w:rFonts w:ascii="Arial" w:eastAsia="Times New Roman" w:hAnsi="Arial" w:cs="Arial"/>
        </w:rPr>
      </w:pPr>
      <w:r>
        <w:rPr>
          <w:rFonts w:ascii="Arial" w:eastAsia="Times New Roman" w:hAnsi="Arial" w:cs="Arial"/>
        </w:rPr>
        <w:t>5  Prerequisites for Carrying Out the Project</w:t>
      </w:r>
    </w:p>
    <w:p w14:paraId="0A6EEC33" w14:textId="77777777" w:rsidR="00655622" w:rsidRDefault="00655622">
      <w:pPr>
        <w:pStyle w:val="Heading2"/>
        <w:rPr>
          <w:rFonts w:ascii="Arial" w:eastAsia="Times New Roman" w:hAnsi="Arial" w:cs="Arial"/>
        </w:rPr>
      </w:pPr>
      <w:r>
        <w:rPr>
          <w:rFonts w:ascii="Arial" w:eastAsia="Times New Roman" w:hAnsi="Arial" w:cs="Arial"/>
        </w:rPr>
        <w:t>5.1  Environment at the host institution</w:t>
      </w:r>
    </w:p>
    <w:p w14:paraId="5C682383" w14:textId="77777777" w:rsidR="00655622" w:rsidRDefault="00655622">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22274144" w14:textId="77777777" w:rsidR="00655622" w:rsidRDefault="00655622">
      <w:pPr>
        <w:pStyle w:val="Heading2"/>
        <w:rPr>
          <w:rFonts w:ascii="Arial" w:eastAsia="Times New Roman" w:hAnsi="Arial" w:cs="Arial"/>
        </w:rPr>
      </w:pPr>
      <w:r>
        <w:rPr>
          <w:rFonts w:ascii="Arial" w:eastAsia="Times New Roman" w:hAnsi="Arial" w:cs="Arial"/>
        </w:rPr>
        <w:t>5.2  Collaborations</w:t>
      </w:r>
    </w:p>
    <w:p w14:paraId="56FF9E06" w14:textId="77777777" w:rsidR="00655622" w:rsidRDefault="0065562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275E4198" w14:textId="77777777" w:rsidR="00655622" w:rsidRDefault="0065562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66072FE5" w14:textId="77777777" w:rsidR="00655622" w:rsidRDefault="0065562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3CC54F90" w14:textId="77777777" w:rsidR="00655622" w:rsidRDefault="0065562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788A2C50" w14:textId="77777777" w:rsidR="00655622" w:rsidRDefault="00655622">
      <w:pPr>
        <w:pStyle w:val="NormalWeb"/>
        <w:rPr>
          <w:rFonts w:ascii="Arial" w:hAnsi="Arial" w:cs="Arial"/>
          <w:sz w:val="21"/>
          <w:szCs w:val="21"/>
        </w:rPr>
      </w:pPr>
      <w:r>
        <w:rPr>
          <w:rFonts w:ascii="Arial" w:hAnsi="Arial" w:cs="Arial"/>
          <w:sz w:val="21"/>
          <w:szCs w:val="21"/>
        </w:rPr>
        <w:t>[Attach letters of commitment as appendices.]</w:t>
      </w:r>
    </w:p>
    <w:p w14:paraId="67D2F391" w14:textId="77777777" w:rsidR="00655622" w:rsidRDefault="00655622">
      <w:pPr>
        <w:pStyle w:val="Heading2"/>
        <w:rPr>
          <w:rFonts w:ascii="Arial" w:eastAsia="Times New Roman" w:hAnsi="Arial" w:cs="Arial"/>
        </w:rPr>
      </w:pPr>
      <w:r>
        <w:rPr>
          <w:rFonts w:ascii="Arial" w:eastAsia="Times New Roman" w:hAnsi="Arial" w:cs="Arial"/>
        </w:rPr>
        <w:t>5.3  Equal opportunities, early-career researchers</w:t>
      </w:r>
    </w:p>
    <w:p w14:paraId="22D70148" w14:textId="77777777" w:rsidR="00655622" w:rsidRDefault="00655622">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2D58E772" w14:textId="77777777" w:rsidR="00655622" w:rsidRDefault="00655622">
      <w:pPr>
        <w:pStyle w:val="Heading1"/>
        <w:rPr>
          <w:rFonts w:ascii="Arial" w:eastAsia="Times New Roman" w:hAnsi="Arial" w:cs="Arial"/>
        </w:rPr>
      </w:pPr>
      <w:r>
        <w:rPr>
          <w:rFonts w:ascii="Arial" w:eastAsia="Times New Roman" w:hAnsi="Arial" w:cs="Arial"/>
        </w:rPr>
        <w:t>6  Declarations</w:t>
      </w:r>
    </w:p>
    <w:p w14:paraId="46B3D469" w14:textId="77777777" w:rsidR="00655622" w:rsidRDefault="0065562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proposal for funding of this project has been submitted to any other institution. In the event of parallel or later submission elsewhere, the DFG will be informed immediately.</w:t>
      </w:r>
    </w:p>
    <w:p w14:paraId="7BE88B5F" w14:textId="77777777" w:rsidR="00655622" w:rsidRDefault="0065562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2337A370" w14:textId="77777777" w:rsidR="00655622" w:rsidRDefault="0065562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2885D721" w14:textId="77777777" w:rsidR="00655622" w:rsidRDefault="0065562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65562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41DC6"/>
    <w:multiLevelType w:val="multilevel"/>
    <w:tmpl w:val="90709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091AA0"/>
    <w:multiLevelType w:val="multilevel"/>
    <w:tmpl w:val="5F6AD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8E53AE"/>
    <w:multiLevelType w:val="multilevel"/>
    <w:tmpl w:val="134C8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1B60A4A"/>
    <w:multiLevelType w:val="multilevel"/>
    <w:tmpl w:val="B1AA6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28867421">
    <w:abstractNumId w:val="0"/>
  </w:num>
  <w:num w:numId="2" w16cid:durableId="1126463353">
    <w:abstractNumId w:val="2"/>
  </w:num>
  <w:num w:numId="3" w16cid:durableId="1302731740">
    <w:abstractNumId w:val="3"/>
  </w:num>
  <w:num w:numId="4" w16cid:durableId="7331634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E6535"/>
    <w:rsid w:val="004F214D"/>
    <w:rsid w:val="00655622"/>
    <w:rsid w:val="00FE653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654B1B"/>
  <w15:chartTrackingRefBased/>
  <w15:docId w15:val="{261E589B-C3D7-4609-A97C-0991B1F06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085907">
      <w:marLeft w:val="0"/>
      <w:marRight w:val="0"/>
      <w:marTop w:val="0"/>
      <w:marBottom w:val="0"/>
      <w:divBdr>
        <w:top w:val="none" w:sz="0" w:space="0" w:color="auto"/>
        <w:left w:val="none" w:sz="0" w:space="0" w:color="auto"/>
        <w:bottom w:val="none" w:sz="0" w:space="0" w:color="auto"/>
        <w:right w:val="none" w:sz="0" w:space="0" w:color="auto"/>
      </w:divBdr>
    </w:div>
    <w:div w:id="2127770504">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8061</Words>
  <Characters>45949</Characters>
  <Application>Microsoft Office Word</Application>
  <DocSecurity>4</DocSecurity>
  <Lines>382</Lines>
  <Paragraphs>107</Paragraphs>
  <ScaleCrop>false</ScaleCrop>
  <Company/>
  <LinksUpToDate>false</LinksUpToDate>
  <CharactersWithSpaces>53903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2026-08-09T14:13:00Z</dcterms:created>
  <dcterms:modified xsi:type="dcterms:W3CDTF">2026-08-09T14:13:00Z</dcterms:modified>
</cp:coreProperties>
</file>