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EDED1" w14:textId="77777777" w:rsidR="00395E98" w:rsidRDefault="00395E98">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02A6D777" w14:textId="77777777" w:rsidR="00395E98" w:rsidRDefault="00395E98">
      <w:pPr>
        <w:pStyle w:val="NormalWeb"/>
        <w:rPr>
          <w:rFonts w:ascii="Arial" w:hAnsi="Arial" w:cs="Arial"/>
          <w:sz w:val="21"/>
          <w:szCs w:val="21"/>
        </w:rPr>
      </w:pPr>
      <w:r>
        <w:rPr>
          <w:rFonts w:ascii="Arial" w:hAnsi="Arial" w:cs="Arial"/>
          <w:sz w:val="21"/>
          <w:szCs w:val="21"/>
        </w:rPr>
        <w:t> </w:t>
      </w:r>
    </w:p>
    <w:p w14:paraId="55A4940C" w14:textId="77777777" w:rsidR="00395E98" w:rsidRDefault="00395E98">
      <w:pPr>
        <w:pStyle w:val="NormalWeb"/>
        <w:rPr>
          <w:rFonts w:ascii="Arial" w:hAnsi="Arial" w:cs="Arial"/>
          <w:sz w:val="21"/>
          <w:szCs w:val="21"/>
        </w:rPr>
      </w:pPr>
      <w:r>
        <w:rPr>
          <w:rFonts w:ascii="Arial" w:hAnsi="Arial" w:cs="Arial"/>
          <w:sz w:val="21"/>
          <w:szCs w:val="21"/>
        </w:rPr>
        <w:t> </w:t>
      </w:r>
    </w:p>
    <w:p w14:paraId="25D06376" w14:textId="77777777" w:rsidR="00395E98" w:rsidRDefault="00395E98">
      <w:pPr>
        <w:pStyle w:val="NormalWeb"/>
        <w:rPr>
          <w:rFonts w:ascii="Arial" w:hAnsi="Arial" w:cs="Arial"/>
          <w:sz w:val="21"/>
          <w:szCs w:val="21"/>
        </w:rPr>
      </w:pPr>
      <w:r>
        <w:rPr>
          <w:rFonts w:ascii="Arial" w:hAnsi="Arial" w:cs="Arial"/>
          <w:sz w:val="21"/>
          <w:szCs w:val="21"/>
        </w:rPr>
        <w:t> </w:t>
      </w:r>
    </w:p>
    <w:p w14:paraId="46845AD7" w14:textId="77777777" w:rsidR="00395E98" w:rsidRDefault="00395E98">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5E9DD40D" w14:textId="77777777" w:rsidR="00395E98" w:rsidRDefault="00395E98">
      <w:pPr>
        <w:pStyle w:val="NormalWeb"/>
        <w:rPr>
          <w:rFonts w:ascii="Arial" w:hAnsi="Arial" w:cs="Arial"/>
          <w:sz w:val="21"/>
          <w:szCs w:val="21"/>
        </w:rPr>
      </w:pPr>
      <w:r>
        <w:rPr>
          <w:rFonts w:ascii="Arial" w:hAnsi="Arial" w:cs="Arial"/>
          <w:sz w:val="21"/>
          <w:szCs w:val="21"/>
        </w:rPr>
        <w:t> </w:t>
      </w:r>
    </w:p>
    <w:p w14:paraId="67DCF0C7" w14:textId="77777777" w:rsidR="00395E98" w:rsidRDefault="00395E98">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Intrinsic Memristive Switching: the SrTi</w:t>
      </w:r>
      <w:r>
        <w:rPr>
          <w:rFonts w:ascii="Arial" w:hAnsi="Arial" w:cs="Arial"/>
          <w:b/>
          <w:bCs/>
          <w:sz w:val="26"/>
          <w:szCs w:val="26"/>
          <w:vertAlign w:val="subscript"/>
        </w:rPr>
        <w:t>1-x</w:t>
      </w:r>
      <w:r>
        <w:rPr>
          <w:rFonts w:ascii="Arial" w:hAnsi="Arial" w:cs="Arial"/>
          <w:b/>
          <w:bCs/>
          <w:sz w:val="26"/>
          <w:szCs w:val="26"/>
        </w:rPr>
        <w:t>Fe</w:t>
      </w:r>
      <w:r>
        <w:rPr>
          <w:rFonts w:ascii="Arial" w:hAnsi="Arial" w:cs="Arial"/>
          <w:b/>
          <w:bCs/>
          <w:sz w:val="26"/>
          <w:szCs w:val="26"/>
          <w:vertAlign w:val="subscript"/>
        </w:rPr>
        <w:t>x</w:t>
      </w:r>
      <w:r>
        <w:rPr>
          <w:rFonts w:ascii="Arial" w:hAnsi="Arial" w:cs="Arial"/>
          <w:b/>
          <w:bCs/>
          <w:sz w:val="26"/>
          <w:szCs w:val="26"/>
        </w:rPr>
        <w:t>O</w:t>
      </w:r>
      <w:r>
        <w:rPr>
          <w:rFonts w:ascii="Arial" w:hAnsi="Arial" w:cs="Arial"/>
          <w:b/>
          <w:bCs/>
          <w:sz w:val="26"/>
          <w:szCs w:val="26"/>
          <w:vertAlign w:val="subscript"/>
        </w:rPr>
        <w:t>3-δ</w:t>
      </w:r>
      <w:r>
        <w:rPr>
          <w:rFonts w:ascii="Arial" w:hAnsi="Arial" w:cs="Arial"/>
          <w:b/>
          <w:bCs/>
          <w:sz w:val="26"/>
          <w:szCs w:val="26"/>
        </w:rPr>
        <w:t xml:space="preserve"> Model Series</w:t>
      </w:r>
    </w:p>
    <w:p w14:paraId="220DFE60" w14:textId="77777777" w:rsidR="00395E98" w:rsidRDefault="00395E98">
      <w:pPr>
        <w:pStyle w:val="NormalWeb"/>
        <w:rPr>
          <w:rFonts w:ascii="Arial" w:hAnsi="Arial" w:cs="Arial"/>
          <w:sz w:val="21"/>
          <w:szCs w:val="21"/>
        </w:rPr>
      </w:pPr>
      <w:r>
        <w:rPr>
          <w:rFonts w:ascii="Arial" w:hAnsi="Arial" w:cs="Arial"/>
          <w:sz w:val="21"/>
          <w:szCs w:val="21"/>
        </w:rPr>
        <w:t> </w:t>
      </w:r>
    </w:p>
    <w:p w14:paraId="0DE47AED" w14:textId="77777777" w:rsidR="00395E98" w:rsidRDefault="00395E9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B972C17"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C859B"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AE44E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6DFD6C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8328B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E2E2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676A08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271F7E"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EFE67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348573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CF2E59"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31FB6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37FB021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9BD07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99C3D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1FB01C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8D3222"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918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42408640" w14:textId="77777777" w:rsidR="00395E98" w:rsidRDefault="00395E98">
      <w:pPr>
        <w:pStyle w:val="NormalWeb"/>
        <w:rPr>
          <w:rFonts w:ascii="Arial" w:hAnsi="Arial" w:cs="Arial"/>
          <w:sz w:val="21"/>
          <w:szCs w:val="21"/>
        </w:rPr>
      </w:pPr>
      <w:r>
        <w:rPr>
          <w:rFonts w:ascii="Arial" w:hAnsi="Arial" w:cs="Arial"/>
          <w:sz w:val="21"/>
          <w:szCs w:val="21"/>
        </w:rPr>
        <w:t> </w:t>
      </w:r>
    </w:p>
    <w:p w14:paraId="406B259C" w14:textId="77777777" w:rsidR="00395E98" w:rsidRDefault="00395E98">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698E9BC6" w14:textId="77777777" w:rsidR="00395E98" w:rsidRDefault="00395E98">
      <w:pPr>
        <w:pStyle w:val="Heading1"/>
        <w:pageBreakBefore/>
        <w:rPr>
          <w:rFonts w:ascii="Arial" w:eastAsia="Times New Roman" w:hAnsi="Arial" w:cs="Arial"/>
        </w:rPr>
      </w:pPr>
      <w:r>
        <w:rPr>
          <w:rFonts w:ascii="Arial" w:eastAsia="Times New Roman" w:hAnsi="Arial" w:cs="Arial"/>
        </w:rPr>
        <w:lastRenderedPageBreak/>
        <w:t>Research Proposal (Exposé)</w:t>
      </w:r>
    </w:p>
    <w:p w14:paraId="1EFAED6C" w14:textId="77777777" w:rsidR="00395E98" w:rsidRDefault="00395E98">
      <w:pPr>
        <w:pStyle w:val="Heading2"/>
        <w:rPr>
          <w:rFonts w:ascii="Arial" w:eastAsia="Times New Roman" w:hAnsi="Arial" w:cs="Arial"/>
        </w:rPr>
      </w:pPr>
      <w:r>
        <w:rPr>
          <w:rFonts w:ascii="Arial" w:eastAsia="Times New Roman" w:hAnsi="Arial" w:cs="Arial"/>
        </w:rPr>
        <w:t>1  Research question and scientific significance</w:t>
      </w:r>
    </w:p>
    <w:p w14:paraId="1B7310B1" w14:textId="77777777" w:rsidR="00395E98" w:rsidRDefault="00395E98">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system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(STF), the one perovskite series in which intrinsic switching, an inert/graphene electrode platform and a quantitatively mapped defect chemistry already coexist. A decisive design requirement drives this choice: in many perovskite memristors – including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system of my own doctorate – robust switching requires a </w:t>
      </w:r>
      <w:r>
        <w:rPr>
          <w:rFonts w:ascii="Arial" w:hAnsi="Arial" w:cs="Arial"/>
          <w:i/>
          <w:iCs/>
          <w:sz w:val="21"/>
          <w:szCs w:val="21"/>
        </w:rPr>
        <w:t>reactive</w:t>
      </w:r>
      <w:r>
        <w:rPr>
          <w:rFonts w:ascii="Arial" w:hAnsi="Arial" w:cs="Arial"/>
          <w:sz w:val="21"/>
          <w:szCs w:val="21"/>
        </w:rPr>
        <w:t xml:space="preserve"> metal electrode, and the oxygen exchange with the resulting second oxide (TiO</w:t>
      </w:r>
      <w:r>
        <w:rPr>
          <w:rFonts w:ascii="Arial" w:hAnsi="Arial" w:cs="Arial"/>
          <w:sz w:val="21"/>
          <w:szCs w:val="21"/>
          <w:vertAlign w:val="subscript"/>
        </w:rPr>
        <w:t>x</w:t>
      </w:r>
      <w:r>
        <w:rPr>
          <w:rFonts w:ascii="Arial" w:hAnsi="Arial" w:cs="Arial"/>
          <w:sz w:val="21"/>
          <w:szCs w:val="21"/>
        </w:rPr>
        <w:t>, AlO</w:t>
      </w:r>
      <w:r>
        <w:rPr>
          <w:rFonts w:ascii="Arial" w:hAnsi="Arial" w:cs="Arial"/>
          <w:sz w:val="21"/>
          <w:szCs w:val="21"/>
          <w:vertAlign w:val="subscript"/>
        </w:rPr>
        <w:t>x</w:t>
      </w:r>
      <w:r>
        <w:rPr>
          <w:rFonts w:ascii="Arial" w:hAnsi="Arial" w:cs="Arial"/>
          <w:sz w:val="21"/>
          <w:szCs w:val="21"/>
        </w:rPr>
        <w:t xml:space="preserve">) then dominates the mechanism [23, 24]. A clean covalency study must instead use a system whose oxygen balance stays </w:t>
      </w:r>
      <w:r>
        <w:rPr>
          <w:rFonts w:ascii="Arial" w:hAnsi="Arial" w:cs="Arial"/>
          <w:i/>
          <w:iCs/>
          <w:sz w:val="21"/>
          <w:szCs w:val="21"/>
        </w:rPr>
        <w:t>inside</w:t>
      </w:r>
      <w:r>
        <w:rPr>
          <w:rFonts w:ascii="Arial" w:hAnsi="Arial" w:cs="Arial"/>
          <w:sz w:val="21"/>
          <w:szCs w:val="21"/>
        </w:rPr>
        <w:t xml:space="preserve"> the oxide.</w:t>
      </w:r>
    </w:p>
    <w:p w14:paraId="28542294" w14:textId="77777777" w:rsidR="00395E98" w:rsidRDefault="00395E98">
      <w:pPr>
        <w:pStyle w:val="NormalWeb"/>
        <w:rPr>
          <w:rFonts w:ascii="Arial" w:hAnsi="Arial" w:cs="Arial"/>
          <w:sz w:val="21"/>
          <w:szCs w:val="21"/>
        </w:rPr>
      </w:pPr>
      <w:r>
        <w:rPr>
          <w:rFonts w:ascii="Arial" w:hAnsi="Arial" w:cs="Arial"/>
          <w:sz w:val="21"/>
          <w:szCs w:val="21"/>
        </w:rPr>
        <w:t xml:space="preserve">STF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covalency/reducibility axis is quantitatively mapped:</w:t>
      </w:r>
      <w:r>
        <w:rPr>
          <w:rFonts w:ascii="Arial" w:hAnsi="Arial" w:cs="Arial"/>
          <w:sz w:val="21"/>
          <w:szCs w:val="21"/>
        </w:rPr>
        <w:t xml:space="preserve"> STF forms a continuous cubic solid solution between SrTiO</w:t>
      </w:r>
      <w:r>
        <w:rPr>
          <w:rFonts w:ascii="Arial" w:hAnsi="Arial" w:cs="Arial"/>
          <w:sz w:val="21"/>
          <w:szCs w:val="21"/>
          <w:vertAlign w:val="subscript"/>
        </w:rPr>
        <w:t>3</w:t>
      </w:r>
      <w:r>
        <w:rPr>
          <w:rFonts w:ascii="Arial" w:hAnsi="Arial" w:cs="Arial"/>
          <w:sz w:val="21"/>
          <w:szCs w:val="21"/>
        </w:rPr>
        <w:t xml:space="preserve"> and SrFeO</w:t>
      </w:r>
      <w:r>
        <w:rPr>
          <w:rFonts w:ascii="Arial" w:hAnsi="Arial" w:cs="Arial"/>
          <w:sz w:val="21"/>
          <w:szCs w:val="21"/>
          <w:vertAlign w:val="subscript"/>
        </w:rPr>
        <w:t>3-δ</w:t>
      </w:r>
      <w:r>
        <w:rPr>
          <w:rFonts w:ascii="Arial" w:hAnsi="Arial" w:cs="Arial"/>
          <w:sz w:val="21"/>
          <w:szCs w:val="21"/>
        </w:rPr>
        <w:t>, and its defect chemistry is known in closed form – band gap E</w:t>
      </w:r>
      <w:r>
        <w:rPr>
          <w:rFonts w:ascii="Arial" w:hAnsi="Arial" w:cs="Arial"/>
          <w:sz w:val="21"/>
          <w:szCs w:val="21"/>
          <w:vertAlign w:val="subscript"/>
        </w:rPr>
        <w:t>g</w:t>
      </w:r>
      <w:r>
        <w:rPr>
          <w:rFonts w:ascii="Arial" w:hAnsi="Arial" w:cs="Arial"/>
          <w:sz w:val="21"/>
          <w:szCs w:val="21"/>
        </w:rPr>
        <w:t>(x) = 3.2 − 1.9x + 0.5x² eV and reduction enthalpy ΔH</w:t>
      </w:r>
      <w:r>
        <w:rPr>
          <w:rFonts w:ascii="Arial" w:hAnsi="Arial" w:cs="Arial"/>
          <w:sz w:val="21"/>
          <w:szCs w:val="21"/>
          <w:vertAlign w:val="subscript"/>
        </w:rPr>
        <w:t>red</w:t>
      </w:r>
      <w:r>
        <w:rPr>
          <w:rFonts w:ascii="Arial" w:hAnsi="Arial" w:cs="Arial"/>
          <w:sz w:val="21"/>
          <w:szCs w:val="21"/>
        </w:rPr>
        <w:t xml:space="preserve">(x) = 5.8 − 3.4x + 1.7x² eV [9]; the Fe–O hybridisation across the series is documented by X-ray absorption [10–12]. The Fe content thus tunes the ease of oxygen-vacancy formation continuously within one perovskite host – the descriptor axis of this project, with literature values to test against. </w:t>
      </w:r>
      <w:r>
        <w:rPr>
          <w:rFonts w:ascii="Arial" w:hAnsi="Arial" w:cs="Arial"/>
          <w:b/>
          <w:bCs/>
          <w:sz w:val="21"/>
          <w:szCs w:val="21"/>
        </w:rPr>
        <w:t>(ii) The switching axis is intrinsic – no reactive electrode required:</w:t>
      </w:r>
      <w:r>
        <w:rPr>
          <w:rFonts w:ascii="Arial" w:hAnsi="Arial" w:cs="Arial"/>
          <w:sz w:val="21"/>
          <w:szCs w:val="21"/>
        </w:rPr>
        <w:t xml:space="preserve"> Fe-doped SrTiO</w:t>
      </w:r>
      <w:r>
        <w:rPr>
          <w:rFonts w:ascii="Arial" w:hAnsi="Arial" w:cs="Arial"/>
          <w:sz w:val="21"/>
          <w:szCs w:val="21"/>
          <w:vertAlign w:val="subscript"/>
        </w:rPr>
        <w:t>3</w:t>
      </w:r>
      <w:r>
        <w:rPr>
          <w:rFonts w:ascii="Arial" w:hAnsi="Arial" w:cs="Arial"/>
          <w:sz w:val="21"/>
          <w:szCs w:val="21"/>
        </w:rPr>
        <w:t xml:space="preserve"> devices with inert electrodes switch via oxygen-vacancy modulation of the Schottky barrier (“eightwise”) as well as via intrinsic filaments [13, 14]; Cr-doped SrTiO</w:t>
      </w:r>
      <w:r>
        <w:rPr>
          <w:rFonts w:ascii="Arial" w:hAnsi="Arial" w:cs="Arial"/>
          <w:sz w:val="21"/>
          <w:szCs w:val="21"/>
          <w:vertAlign w:val="subscript"/>
        </w:rPr>
        <w:t>3</w:t>
      </w:r>
      <w:r>
        <w:rPr>
          <w:rFonts w:ascii="Arial" w:hAnsi="Arial" w:cs="Arial"/>
          <w:sz w:val="21"/>
          <w:szCs w:val="21"/>
        </w:rPr>
        <w:t xml:space="preserve"> switches with inert electrodes with operando-XAS-proven vacancy drift [15]; and spectromicroscopy has traced the mechanism to oxygen migration and Ti valence changes within the oxide itself [16]. Crucially, the photoelectron-transparent </w:t>
      </w:r>
      <w:r>
        <w:rPr>
          <w:rFonts w:ascii="Arial" w:hAnsi="Arial" w:cs="Arial"/>
          <w:i/>
          <w:iCs/>
          <w:sz w:val="21"/>
          <w:szCs w:val="21"/>
        </w:rPr>
        <w:t>graphene top-electrode platform has been demonstrated on exactly this materials system</w:t>
      </w:r>
      <w:r>
        <w:rPr>
          <w:rFonts w:ascii="Arial" w:hAnsi="Arial" w:cs="Arial"/>
          <w:sz w:val="21"/>
          <w:szCs w:val="21"/>
        </w:rPr>
        <w:t xml:space="preserve"> [17, 18]. Graphene is not merely convenient here but scientifically necessary: </w:t>
      </w:r>
      <w:r>
        <w:rPr>
          <w:rFonts w:ascii="Arial" w:hAnsi="Arial" w:cs="Arial"/>
          <w:sz w:val="21"/>
          <w:szCs w:val="21"/>
          <w:vertAlign w:val="superscript"/>
        </w:rPr>
        <w:t>18</w:t>
      </w:r>
      <w:r>
        <w:rPr>
          <w:rFonts w:ascii="Arial" w:hAnsi="Arial" w:cs="Arial"/>
          <w:sz w:val="21"/>
          <w:szCs w:val="21"/>
        </w:rPr>
        <w:t xml:space="preserve">O-tracer and humidity studies show that under permeable electrodes, eightwise switching exchanges oxygen with ambient water [19, 20] – only a gas-tight (graphene-sealed) electrode makes the oxygen balance truly internal and the covalency–switching correlation unambiguous. </w:t>
      </w:r>
      <w:r>
        <w:rPr>
          <w:rFonts w:ascii="Arial" w:hAnsi="Arial" w:cs="Arial"/>
          <w:b/>
          <w:bCs/>
          <w:sz w:val="21"/>
          <w:szCs w:val="21"/>
        </w:rPr>
        <w:t>(iii) The mechanism is stable across the series:</w:t>
      </w:r>
      <w:r>
        <w:rPr>
          <w:rFonts w:ascii="Arial" w:hAnsi="Arial" w:cs="Arial"/>
          <w:sz w:val="21"/>
          <w:szCs w:val="21"/>
        </w:rPr>
        <w:t xml:space="preserve"> for x ≤ 0.3, STF remains a cubic, p-type semiconducting perovskite – no topotactic brownmillerite transition and no metal–insulator transition interferes [9], in deliberate contrast to the manganite, ferrite and cobaltite families. </w:t>
      </w:r>
      <w:r>
        <w:rPr>
          <w:rFonts w:ascii="Arial" w:hAnsi="Arial" w:cs="Arial"/>
          <w:b/>
          <w:bCs/>
          <w:sz w:val="21"/>
          <w:szCs w:val="21"/>
        </w:rPr>
        <w:t>The gap:</w:t>
      </w:r>
      <w:r>
        <w:rPr>
          <w:rFonts w:ascii="Arial" w:hAnsi="Arial" w:cs="Arial"/>
          <w:sz w:val="21"/>
          <w:szCs w:val="21"/>
        </w:rPr>
        <w:t xml:space="preserve"> a systematic Fe-content series in epitaxial devices under inert/graphene electrodes does not exist – published composition series were measured either with reactive electrodes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[23], where the electrode oxide dominates the mechanism [24]) or on polycrystalline films in a narrow composition window [22]. My central hypothesis: the switching figures of merit of intrinsic STF devices scale with the covalency/reduction-enthalpy descriptor, with an optimum of the usable window at intermediate x – and the descriptor is </w:t>
      </w:r>
      <w:r>
        <w:rPr>
          <w:rFonts w:ascii="Arial" w:hAnsi="Arial" w:cs="Arial"/>
          <w:i/>
          <w:iCs/>
          <w:sz w:val="21"/>
          <w:szCs w:val="21"/>
        </w:rPr>
        <w:t>measured</w:t>
      </w:r>
      <w:r>
        <w:rPr>
          <w:rFonts w:ascii="Arial" w:hAnsi="Arial" w:cs="Arial"/>
          <w:sz w:val="21"/>
          <w:szCs w:val="21"/>
        </w:rPr>
        <w:t>, not merely computed [11].</w:t>
      </w:r>
    </w:p>
    <w:p w14:paraId="3EBF5E29" w14:textId="77777777" w:rsidR="00395E98" w:rsidRDefault="00395E98">
      <w:pPr>
        <w:pStyle w:val="Heading2"/>
        <w:rPr>
          <w:rFonts w:ascii="Arial" w:eastAsia="Times New Roman" w:hAnsi="Arial" w:cs="Arial"/>
        </w:rPr>
      </w:pPr>
      <w:r>
        <w:rPr>
          <w:rFonts w:ascii="Arial" w:eastAsia="Times New Roman" w:hAnsi="Arial" w:cs="Arial"/>
        </w:rPr>
        <w:t>2  Why the Chueh group at Stanford is the ideal place</w:t>
      </w:r>
    </w:p>
    <w:p w14:paraId="4E8C0EEE" w14:textId="77777777" w:rsidR="00395E98" w:rsidRDefault="00395E98">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w:t>
      </w:r>
      <w:r>
        <w:rPr>
          <w:rFonts w:ascii="Arial" w:hAnsi="Arial" w:cs="Arial"/>
          <w:sz w:val="21"/>
          <w:szCs w:val="21"/>
          <w:vertAlign w:val="subscript"/>
        </w:rPr>
        <w:t>3</w:t>
      </w:r>
      <w:r>
        <w:rPr>
          <w:rFonts w:ascii="Arial" w:hAnsi="Arial" w:cs="Arial"/>
          <w:sz w:val="21"/>
          <w:szCs w:val="21"/>
        </w:rPr>
        <w:t xml:space="preserve">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6E25979A" w14:textId="77777777" w:rsidR="00395E98" w:rsidRDefault="00395E98">
      <w:pPr>
        <w:pStyle w:val="Heading2"/>
        <w:rPr>
          <w:rFonts w:ascii="Arial" w:eastAsia="Times New Roman" w:hAnsi="Arial" w:cs="Arial"/>
        </w:rPr>
      </w:pPr>
      <w:r>
        <w:rPr>
          <w:rFonts w:ascii="Arial" w:eastAsia="Times New Roman" w:hAnsi="Arial" w:cs="Arial"/>
        </w:rPr>
        <w:t>3  Work programme (24 months)</w:t>
      </w:r>
    </w:p>
    <w:p w14:paraId="3335D24D" w14:textId="77777777" w:rsidR="00395E98" w:rsidRDefault="00395E98">
      <w:pPr>
        <w:pStyle w:val="Heading3"/>
        <w:rPr>
          <w:rFonts w:ascii="Arial" w:eastAsia="Times New Roman" w:hAnsi="Arial" w:cs="Arial"/>
        </w:rPr>
      </w:pPr>
      <w:r>
        <w:rPr>
          <w:rFonts w:ascii="Arial" w:eastAsia="Times New Roman" w:hAnsi="Arial" w:cs="Arial"/>
        </w:rPr>
        <w:t>WP1 – Synthesis and descriptor measurement of the STF series (months 1–10)</w:t>
      </w:r>
    </w:p>
    <w:p w14:paraId="32D1A86B" w14:textId="77777777" w:rsidR="00395E98" w:rsidRDefault="00395E98">
      <w:pPr>
        <w:pStyle w:val="NormalWeb"/>
        <w:rPr>
          <w:rFonts w:ascii="Arial" w:hAnsi="Arial" w:cs="Arial"/>
          <w:sz w:val="21"/>
          <w:szCs w:val="21"/>
        </w:rPr>
      </w:pPr>
      <w:r>
        <w:rPr>
          <w:rFonts w:ascii="Arial" w:hAnsi="Arial" w:cs="Arial"/>
          <w:sz w:val="21"/>
          <w:szCs w:val="21"/>
        </w:rPr>
        <w:t>PLD growth of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films (x = 0; 0.02; 0.05; 0.1; 0.2; 0.3 – from the dilute-dopant regime of the established Fe:SrTiO</w:t>
      </w:r>
      <w:r>
        <w:rPr>
          <w:rFonts w:ascii="Arial" w:hAnsi="Arial" w:cs="Arial"/>
          <w:sz w:val="21"/>
          <w:szCs w:val="21"/>
          <w:vertAlign w:val="subscript"/>
        </w:rPr>
        <w:t>3</w:t>
      </w:r>
      <w:r>
        <w:rPr>
          <w:rFonts w:ascii="Arial" w:hAnsi="Arial" w:cs="Arial"/>
          <w:sz w:val="21"/>
          <w:szCs w:val="21"/>
        </w:rPr>
        <w:t xml:space="preserve"> devices [13] into the mixed-conducting regime, safely below the vacancy-ordering region)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Fe-L</w:t>
      </w:r>
      <w:r>
        <w:rPr>
          <w:rFonts w:ascii="Arial" w:hAnsi="Arial" w:cs="Arial"/>
          <w:sz w:val="21"/>
          <w:szCs w:val="21"/>
          <w:vertAlign w:val="subscript"/>
        </w:rPr>
        <w:t>2,3</w:t>
      </w:r>
      <w:r>
        <w:rPr>
          <w:rFonts w:ascii="Arial" w:hAnsi="Arial" w:cs="Arial"/>
          <w:sz w:val="21"/>
          <w:szCs w:val="21"/>
        </w:rPr>
        <w:t xml:space="preserve"> and Ti-L</w:t>
      </w:r>
      <w:r>
        <w:rPr>
          <w:rFonts w:ascii="Arial" w:hAnsi="Arial" w:cs="Arial"/>
          <w:sz w:val="21"/>
          <w:szCs w:val="21"/>
          <w:vertAlign w:val="subscript"/>
        </w:rPr>
        <w:t>2,3</w:t>
      </w:r>
      <w:r>
        <w:rPr>
          <w:rFonts w:ascii="Arial" w:hAnsi="Arial" w:cs="Arial"/>
          <w:sz w:val="21"/>
          <w:szCs w:val="21"/>
        </w:rPr>
        <w:t xml:space="preserve"> valence analysis and O-K pre-edge quantification following [11] for every composition → experimental covalency scale of the series, benchmarked against the closed-form defect model [9] and the published STF spectroscopy [10]. </w:t>
      </w:r>
      <w:r>
        <w:rPr>
          <w:rFonts w:ascii="Arial" w:hAnsi="Arial" w:cs="Arial"/>
          <w:i/>
          <w:iCs/>
          <w:sz w:val="21"/>
          <w:szCs w:val="21"/>
        </w:rPr>
        <w:t>Milestone M1 (month 10): validated sample series with complete descriptor set.</w:t>
      </w:r>
    </w:p>
    <w:p w14:paraId="3036DF8C" w14:textId="77777777" w:rsidR="00395E98" w:rsidRDefault="00395E98">
      <w:pPr>
        <w:pStyle w:val="Heading3"/>
        <w:rPr>
          <w:rFonts w:ascii="Arial" w:eastAsia="Times New Roman" w:hAnsi="Arial" w:cs="Arial"/>
        </w:rPr>
      </w:pPr>
      <w:r>
        <w:rPr>
          <w:rFonts w:ascii="Arial" w:eastAsia="Times New Roman" w:hAnsi="Arial" w:cs="Arial"/>
        </w:rPr>
        <w:t>WP2 – Intrinsic devices and switching characterisation (months 8–18)</w:t>
      </w:r>
    </w:p>
    <w:p w14:paraId="442ACD0F" w14:textId="77777777" w:rsidR="00395E98" w:rsidRDefault="00395E98">
      <w:pPr>
        <w:pStyle w:val="NormalWeb"/>
        <w:rPr>
          <w:rFonts w:ascii="Arial" w:hAnsi="Arial" w:cs="Arial"/>
          <w:sz w:val="21"/>
          <w:szCs w:val="21"/>
        </w:rPr>
      </w:pPr>
      <w:r>
        <w:rPr>
          <w:rFonts w:ascii="Arial" w:hAnsi="Arial" w:cs="Arial"/>
          <w:sz w:val="21"/>
          <w:szCs w:val="21"/>
        </w:rPr>
        <w:t xml:space="preserve">Two inert top-electrode flavours per composition, processed photolithographically with ≥ 30 nominally identical cells each: (i) Pt pads as the workhorse geometry, and (ii) </w:t>
      </w:r>
      <w:r>
        <w:rPr>
          <w:rFonts w:ascii="Arial" w:hAnsi="Arial" w:cs="Arial"/>
          <w:i/>
          <w:iCs/>
          <w:sz w:val="21"/>
          <w:szCs w:val="21"/>
        </w:rPr>
        <w:t>graphene-sealed cells</w:t>
      </w:r>
      <w:r>
        <w:rPr>
          <w:rFonts w:ascii="Arial" w:hAnsi="Arial" w:cs="Arial"/>
          <w:sz w:val="21"/>
          <w:szCs w:val="21"/>
        </w:rPr>
        <w:t xml:space="preserve"> – photoelectron-transparent and gas-tight, following the platform demonstrated on SrTiO</w:t>
      </w:r>
      <w:r>
        <w:rPr>
          <w:rFonts w:ascii="Arial" w:hAnsi="Arial" w:cs="Arial"/>
          <w:sz w:val="21"/>
          <w:szCs w:val="21"/>
          <w:vertAlign w:val="subscript"/>
        </w:rPr>
        <w:t>3</w:t>
      </w:r>
      <w:r>
        <w:rPr>
          <w:rFonts w:ascii="Arial" w:hAnsi="Arial" w:cs="Arial"/>
          <w:sz w:val="21"/>
          <w:szCs w:val="21"/>
        </w:rPr>
        <w:t xml:space="preserve"> [17, 18] – which keep the oxygen balance strictly internal [19, 20] and remain spectroscopy-ready. Interface control against unintentional layers follows the lessons of [21] (epitaxial platform, reference samples). Quasistatic and pulsed characterisation of the eightwise regime [13, 14] under the statistics protocol established in my doctorate (ON/OFF at defined read-out voltage, forming requirement, kinetics, temperature-accelerated retention, endurance). </w:t>
      </w:r>
      <w:r>
        <w:rPr>
          <w:rFonts w:ascii="Arial" w:hAnsi="Arial" w:cs="Arial"/>
          <w:i/>
          <w:iCs/>
          <w:sz w:val="21"/>
          <w:szCs w:val="21"/>
        </w:rPr>
        <w:t>Milestone M2 (month 18): switching figures of merit as a function of x, in both geometries, with robust statistics.</w:t>
      </w:r>
    </w:p>
    <w:p w14:paraId="39099210" w14:textId="77777777" w:rsidR="00395E98" w:rsidRDefault="00395E98">
      <w:pPr>
        <w:pStyle w:val="Heading3"/>
        <w:rPr>
          <w:rFonts w:ascii="Arial" w:eastAsia="Times New Roman" w:hAnsi="Arial" w:cs="Arial"/>
        </w:rPr>
      </w:pPr>
      <w:r>
        <w:rPr>
          <w:rFonts w:ascii="Arial" w:eastAsia="Times New Roman" w:hAnsi="Arial" w:cs="Arial"/>
        </w:rPr>
        <w:t>WP3 – Correlation, operando validation and publication (months 16–24)</w:t>
      </w:r>
    </w:p>
    <w:p w14:paraId="3F3552F1" w14:textId="77777777" w:rsidR="00395E98" w:rsidRDefault="00395E98">
      <w:pPr>
        <w:pStyle w:val="NormalWeb"/>
        <w:rPr>
          <w:rFonts w:ascii="Arial" w:hAnsi="Arial" w:cs="Arial"/>
          <w:sz w:val="21"/>
          <w:szCs w:val="21"/>
        </w:rPr>
      </w:pPr>
      <w:r>
        <w:rPr>
          <w:rFonts w:ascii="Arial" w:hAnsi="Arial" w:cs="Arial"/>
          <w:sz w:val="21"/>
          <w:szCs w:val="21"/>
        </w:rPr>
        <w:t>Correlation analysis covalency (XAS) ↔ ΔH</w:t>
      </w:r>
      <w:r>
        <w:rPr>
          <w:rFonts w:ascii="Arial" w:hAnsi="Arial" w:cs="Arial"/>
          <w:sz w:val="21"/>
          <w:szCs w:val="21"/>
          <w:vertAlign w:val="subscript"/>
        </w:rPr>
        <w:t>red</w:t>
      </w:r>
      <w:r>
        <w:rPr>
          <w:rFonts w:ascii="Arial" w:hAnsi="Arial" w:cs="Arial"/>
          <w:sz w:val="21"/>
          <w:szCs w:val="21"/>
        </w:rPr>
        <w:t>/E</w:t>
      </w:r>
      <w:r>
        <w:rPr>
          <w:rFonts w:ascii="Arial" w:hAnsi="Arial" w:cs="Arial"/>
          <w:sz w:val="21"/>
          <w:szCs w:val="21"/>
          <w:vertAlign w:val="subscript"/>
        </w:rPr>
        <w:t>V</w:t>
      </w:r>
      <w:r>
        <w:rPr>
          <w:rFonts w:ascii="Arial" w:hAnsi="Arial" w:cs="Arial"/>
          <w:sz w:val="21"/>
          <w:szCs w:val="21"/>
        </w:rPr>
        <w:t xml:space="preserve"> (defect model [9], descriptor models [5–8]) ↔ switching metrics; test of the optimum hypothesis. Second SSRL campaign: XAS </w:t>
      </w:r>
      <w:r>
        <w:rPr>
          <w:rFonts w:ascii="Arial" w:hAnsi="Arial" w:cs="Arial"/>
          <w:i/>
          <w:iCs/>
          <w:sz w:val="21"/>
          <w:szCs w:val="21"/>
        </w:rPr>
        <w:t>through the graphene electrode</w:t>
      </w:r>
      <w:r>
        <w:rPr>
          <w:rFonts w:ascii="Arial" w:hAnsi="Arial" w:cs="Arial"/>
          <w:sz w:val="21"/>
          <w:szCs w:val="21"/>
        </w:rPr>
        <w:t xml:space="preserve"> on switched cells (ex-situ before/after switching, operando if successful, following [17]) to verify that the composition-dependent differences rest on different V</w:t>
      </w:r>
      <w:r>
        <w:rPr>
          <w:rFonts w:ascii="Arial" w:hAnsi="Arial" w:cs="Arial"/>
          <w:sz w:val="21"/>
          <w:szCs w:val="21"/>
          <w:vertAlign w:val="subscript"/>
        </w:rPr>
        <w:t>O</w:t>
      </w:r>
      <w:r>
        <w:rPr>
          <w:rFonts w:ascii="Arial" w:hAnsi="Arial" w:cs="Arial"/>
          <w:sz w:val="21"/>
          <w:szCs w:val="21"/>
        </w:rPr>
        <w:t xml:space="preserve"> dynamics inside the oxide. Publication of the first covalency-resolved study of intrinsically switching perovskite devices; dataset released following FAIR principles. </w:t>
      </w:r>
      <w:r>
        <w:rPr>
          <w:rFonts w:ascii="Arial" w:hAnsi="Arial" w:cs="Arial"/>
          <w:i/>
          <w:iCs/>
          <w:sz w:val="21"/>
          <w:szCs w:val="21"/>
        </w:rPr>
        <w:t>Milestone M3 (month 24): submitted publication(s), public dataset.</w:t>
      </w:r>
    </w:p>
    <w:p w14:paraId="7BBBCD4D" w14:textId="77777777" w:rsidR="00395E98" w:rsidRDefault="00395E98">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44160EB3"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EBFF66F"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5DFD1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1C2D2B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A1B7AC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41B6C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30EAB37"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4CB4788"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83EB45"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0E59F1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CC0D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3EC9D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D1E44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FEB0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79CC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6F555"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9E92B3"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EA82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6CDAB"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CF49C" w14:textId="77777777" w:rsidR="00395E98" w:rsidRDefault="00395E98">
            <w:pPr>
              <w:spacing w:before="120" w:after="200"/>
              <w:jc w:val="center"/>
              <w:rPr>
                <w:rFonts w:eastAsia="Times New Roman"/>
                <w:sz w:val="20"/>
                <w:szCs w:val="20"/>
              </w:rPr>
            </w:pPr>
          </w:p>
        </w:tc>
      </w:tr>
      <w:tr w:rsidR="00000000" w14:paraId="7A41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E6079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F0EF0"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D0587"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B9B4B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57359D"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B08D3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2583BE"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BDBED"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0ED04" w14:textId="77777777" w:rsidR="00395E98" w:rsidRDefault="00395E98">
            <w:pPr>
              <w:spacing w:before="120" w:after="200"/>
              <w:jc w:val="center"/>
              <w:rPr>
                <w:rFonts w:eastAsia="Times New Roman"/>
                <w:sz w:val="20"/>
                <w:szCs w:val="20"/>
              </w:rPr>
            </w:pPr>
          </w:p>
        </w:tc>
      </w:tr>
      <w:tr w:rsidR="00000000" w14:paraId="7A0B3E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22F34"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99ACA3"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E5BF"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FAA5E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A8C3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308C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3B2F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45D2A6"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EFC20"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C7ADCA0" w14:textId="77777777" w:rsidR="00395E98" w:rsidRDefault="00395E98">
      <w:pPr>
        <w:pStyle w:val="Heading2"/>
        <w:rPr>
          <w:rFonts w:ascii="Arial" w:eastAsia="Times New Roman" w:hAnsi="Arial" w:cs="Arial"/>
        </w:rPr>
      </w:pPr>
      <w:r>
        <w:rPr>
          <w:rFonts w:ascii="Arial" w:eastAsia="Times New Roman" w:hAnsi="Arial" w:cs="Arial"/>
        </w:rPr>
        <w:t>5  Career perspective and return strategy</w:t>
      </w:r>
    </w:p>
    <w:p w14:paraId="306EB2C7" w14:textId="77777777" w:rsidR="00395E98" w:rsidRDefault="00395E98">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intrinsic STF dataset) for the larger programme of a “treasure map” of memristive oxides in analogy to the bonding-descriptor maps of Wuttig et al. [28]. The choice of STF for this fellowship is deliberate three times over: the switching stays inside the oxide (no reactive-electrode confounder), the graphene-sealed platform keeps it spectroscopy-ready and atmosphere-independent, and the mechanism is stable across the composition range. The subsequent group programme then scales the validated methodology to the mixed-valent A-site families (manganites, ferrites, cobaltites), where reactive interfaces and topotactic phase transitions are no longer confounders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1CD4F2A" w14:textId="77777777" w:rsidR="00395E98" w:rsidRDefault="00395E98">
      <w:pPr>
        <w:pStyle w:val="Heading2"/>
        <w:rPr>
          <w:rFonts w:ascii="Arial" w:eastAsia="Times New Roman" w:hAnsi="Arial" w:cs="Arial"/>
        </w:rPr>
      </w:pPr>
      <w:r>
        <w:rPr>
          <w:rFonts w:ascii="Arial" w:eastAsia="Times New Roman" w:hAnsi="Arial" w:cs="Arial"/>
        </w:rPr>
        <w:t>6  References</w:t>
      </w:r>
    </w:p>
    <w:p w14:paraId="5C62D40D" w14:textId="77777777" w:rsidR="00395E98" w:rsidRDefault="00395E98">
      <w:pPr>
        <w:spacing w:after="60"/>
        <w:ind w:hanging="480"/>
        <w:divId w:val="208340846"/>
        <w:rPr>
          <w:rFonts w:ascii="Arial" w:hAnsi="Arial" w:cs="Arial"/>
          <w:sz w:val="18"/>
          <w:szCs w:val="18"/>
        </w:rPr>
      </w:pPr>
      <w:r>
        <w:rPr>
          <w:rFonts w:ascii="Arial" w:hAnsi="Arial" w:cs="Arial"/>
          <w:sz w:val="18"/>
          <w:szCs w:val="18"/>
        </w:rPr>
        <w:t>[1] R. Waser, M. Aono, Nanoionics-based resistive switching memories. Nature Materials 6, 833–840 (2007).</w:t>
      </w:r>
    </w:p>
    <w:p w14:paraId="566DCFBD" w14:textId="77777777" w:rsidR="00395E98" w:rsidRDefault="00395E98">
      <w:pPr>
        <w:spacing w:after="60"/>
        <w:ind w:hanging="480"/>
        <w:divId w:val="208340846"/>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4DC75768" w14:textId="77777777" w:rsidR="00395E98" w:rsidRDefault="00395E98">
      <w:pPr>
        <w:spacing w:after="60"/>
        <w:ind w:hanging="480"/>
        <w:divId w:val="208340846"/>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73711123" w14:textId="77777777" w:rsidR="00395E98" w:rsidRDefault="00395E98">
      <w:pPr>
        <w:spacing w:after="60"/>
        <w:ind w:hanging="480"/>
        <w:divId w:val="208340846"/>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53AB5C2E" w14:textId="77777777" w:rsidR="00395E98" w:rsidRDefault="00395E98">
      <w:pPr>
        <w:spacing w:after="60"/>
        <w:ind w:hanging="480"/>
        <w:divId w:val="208340846"/>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FFC4346" w14:textId="77777777" w:rsidR="00395E98" w:rsidRDefault="00395E98">
      <w:pPr>
        <w:spacing w:after="60"/>
        <w:ind w:hanging="480"/>
        <w:divId w:val="208340846"/>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3BADCA38" w14:textId="77777777" w:rsidR="00395E98" w:rsidRDefault="00395E98">
      <w:pPr>
        <w:spacing w:after="60"/>
        <w:ind w:hanging="480"/>
        <w:divId w:val="208340846"/>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5338E81" w14:textId="77777777" w:rsidR="00395E98" w:rsidRDefault="00395E98">
      <w:pPr>
        <w:spacing w:after="60"/>
        <w:ind w:hanging="480"/>
        <w:divId w:val="208340846"/>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75EE9B44" w14:textId="77777777" w:rsidR="00395E98" w:rsidRDefault="00395E98">
      <w:pPr>
        <w:spacing w:after="60"/>
        <w:ind w:hanging="480"/>
        <w:divId w:val="208340846"/>
        <w:rPr>
          <w:rFonts w:ascii="Arial" w:hAnsi="Arial" w:cs="Arial"/>
          <w:sz w:val="18"/>
          <w:szCs w:val="18"/>
        </w:rPr>
      </w:pPr>
      <w:r>
        <w:rPr>
          <w:rFonts w:ascii="Arial" w:hAnsi="Arial" w:cs="Arial"/>
          <w:sz w:val="18"/>
          <w:szCs w:val="18"/>
        </w:rPr>
        <w:t>[9] A. Rothschild, W. Menesklou, H. L. Tuller, E. Ivers-Tiffée, Electronic Structure, Defect Chemistry, and Transport Properties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3-y</w:t>
      </w:r>
      <w:r>
        <w:rPr>
          <w:rFonts w:ascii="Arial" w:hAnsi="Arial" w:cs="Arial"/>
          <w:sz w:val="18"/>
          <w:szCs w:val="18"/>
        </w:rPr>
        <w:t xml:space="preserve"> Solid Solutions. Chemistry of Materials 18, 3651–3659 (2006).</w:t>
      </w:r>
    </w:p>
    <w:p w14:paraId="5DC76694" w14:textId="77777777" w:rsidR="00395E98" w:rsidRDefault="00395E98">
      <w:pPr>
        <w:spacing w:after="60"/>
        <w:ind w:hanging="480"/>
        <w:divId w:val="208340846"/>
        <w:rPr>
          <w:rFonts w:ascii="Arial" w:hAnsi="Arial" w:cs="Arial"/>
          <w:sz w:val="18"/>
          <w:szCs w:val="18"/>
        </w:rPr>
      </w:pPr>
      <w:r>
        <w:rPr>
          <w:rFonts w:ascii="Arial" w:hAnsi="Arial" w:cs="Arial"/>
          <w:sz w:val="18"/>
          <w:szCs w:val="18"/>
        </w:rPr>
        <w:t>[10] M. Vračar, A. Kuzmin, R. Merkle, J. Purans, E. A. Kotomin, J. Maier, O. Mathon, Jahn-Teller distortion around Fe</w:t>
      </w:r>
      <w:r>
        <w:rPr>
          <w:rFonts w:ascii="Arial" w:hAnsi="Arial" w:cs="Arial"/>
          <w:sz w:val="18"/>
          <w:szCs w:val="18"/>
          <w:vertAlign w:val="superscript"/>
        </w:rPr>
        <w:t>4+</w:t>
      </w:r>
      <w:r>
        <w:rPr>
          <w:rFonts w:ascii="Arial" w:hAnsi="Arial" w:cs="Arial"/>
          <w:sz w:val="18"/>
          <w:szCs w:val="18"/>
        </w:rPr>
        <w:t xml:space="preserve"> in Sr(Fe</w:t>
      </w:r>
      <w:r>
        <w:rPr>
          <w:rFonts w:ascii="Arial" w:hAnsi="Arial" w:cs="Arial"/>
          <w:sz w:val="18"/>
          <w:szCs w:val="18"/>
          <w:vertAlign w:val="subscript"/>
        </w:rPr>
        <w:t>x</w:t>
      </w:r>
      <w:r>
        <w:rPr>
          <w:rFonts w:ascii="Arial" w:hAnsi="Arial" w:cs="Arial"/>
          <w:sz w:val="18"/>
          <w:szCs w:val="18"/>
        </w:rPr>
        <w:t>Ti</w:t>
      </w:r>
      <w:r>
        <w:rPr>
          <w:rFonts w:ascii="Arial" w:hAnsi="Arial" w:cs="Arial"/>
          <w:sz w:val="18"/>
          <w:szCs w:val="18"/>
          <w:vertAlign w:val="subscript"/>
        </w:rPr>
        <w:t>1-x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from x-ray absorption spectroscopy, x-ray diffraction, and vibrational spectroscopy. Physical Review B 76, 174107 (2007).</w:t>
      </w:r>
    </w:p>
    <w:p w14:paraId="45B724BD" w14:textId="77777777" w:rsidR="00395E98" w:rsidRDefault="00395E98">
      <w:pPr>
        <w:spacing w:after="60"/>
        <w:ind w:hanging="480"/>
        <w:divId w:val="208340846"/>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1E0952DC" w14:textId="77777777" w:rsidR="00395E98" w:rsidRDefault="00395E98">
      <w:pPr>
        <w:spacing w:after="60"/>
        <w:ind w:hanging="480"/>
        <w:divId w:val="208340846"/>
        <w:rPr>
          <w:rFonts w:ascii="Arial" w:hAnsi="Arial" w:cs="Arial"/>
          <w:sz w:val="18"/>
          <w:szCs w:val="18"/>
        </w:rPr>
      </w:pPr>
      <w:r>
        <w:rPr>
          <w:rFonts w:ascii="Arial" w:hAnsi="Arial" w:cs="Arial"/>
          <w:sz w:val="18"/>
          <w:szCs w:val="18"/>
        </w:rPr>
        <w:t>[12] F. Frati, M. O. J. Y. Hunault, F. M. F. de Groot, Oxygen K-edge X-ray Absorption Spectra. Chemical Reviews 120, 4056–4110 (2020).</w:t>
      </w:r>
    </w:p>
    <w:p w14:paraId="66BC807C" w14:textId="77777777" w:rsidR="00395E98" w:rsidRDefault="00395E98">
      <w:pPr>
        <w:spacing w:after="60"/>
        <w:ind w:hanging="480"/>
        <w:divId w:val="208340846"/>
        <w:rPr>
          <w:rFonts w:ascii="Arial" w:hAnsi="Arial" w:cs="Arial"/>
          <w:sz w:val="18"/>
          <w:szCs w:val="18"/>
        </w:rPr>
      </w:pPr>
      <w:r>
        <w:rPr>
          <w:rFonts w:ascii="Arial" w:hAnsi="Arial" w:cs="Arial"/>
          <w:sz w:val="18"/>
          <w:szCs w:val="18"/>
        </w:rPr>
        <w:t>[13]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689A08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[14] A. Sarantopoulos, R. Waser, R. Dittmann, Eightwise Switching Mechanism in Memristive SrTiO</w:t>
      </w:r>
      <w:r>
        <w:rPr>
          <w:rFonts w:ascii="Arial" w:hAnsi="Arial" w:cs="Arial"/>
          <w:sz w:val="18"/>
          <w:szCs w:val="18"/>
          <w:vertAlign w:val="subscript"/>
        </w:rPr>
        <w:t>3</w:t>
      </w:r>
      <w:r>
        <w:rPr>
          <w:rFonts w:ascii="Arial" w:hAnsi="Arial" w:cs="Arial"/>
          <w:sz w:val="18"/>
          <w:szCs w:val="18"/>
        </w:rPr>
        <w:t xml:space="preserve"> Devices and Its Implications on the Device Performance. Physica Status Solidi A 221, 2300483 (2024).</w:t>
      </w:r>
    </w:p>
    <w:p w14:paraId="78483FC6" w14:textId="77777777" w:rsidR="00395E98" w:rsidRDefault="00395E98">
      <w:pPr>
        <w:spacing w:after="60"/>
        <w:ind w:hanging="480"/>
        <w:divId w:val="208340846"/>
        <w:rPr>
          <w:rFonts w:ascii="Arial" w:hAnsi="Arial" w:cs="Arial"/>
          <w:sz w:val="18"/>
          <w:szCs w:val="18"/>
        </w:rPr>
      </w:pPr>
      <w:r>
        <w:rPr>
          <w:rFonts w:ascii="Arial" w:hAnsi="Arial" w:cs="Arial"/>
          <w:sz w:val="18"/>
          <w:szCs w:val="18"/>
        </w:rPr>
        <w:t>[15] M. Janousch, G. I. Meijer, U. Staub, B. Delley, S. F. Karg, B. P. Andreasson, Role of Oxygen Vacancies in Cr-Doped SrTiO</w:t>
      </w:r>
      <w:r>
        <w:rPr>
          <w:rFonts w:ascii="Arial" w:hAnsi="Arial" w:cs="Arial"/>
          <w:sz w:val="18"/>
          <w:szCs w:val="18"/>
          <w:vertAlign w:val="subscript"/>
        </w:rPr>
        <w:t>3</w:t>
      </w:r>
      <w:r>
        <w:rPr>
          <w:rFonts w:ascii="Arial" w:hAnsi="Arial" w:cs="Arial"/>
          <w:sz w:val="18"/>
          <w:szCs w:val="18"/>
        </w:rPr>
        <w:t xml:space="preserve"> for Resistance-Change Memory. Advanced Materials 19, 2232–2235 (2007).</w:t>
      </w:r>
    </w:p>
    <w:p w14:paraId="06C3949B" w14:textId="77777777" w:rsidR="00395E98" w:rsidRDefault="00395E98">
      <w:pPr>
        <w:spacing w:after="60"/>
        <w:ind w:hanging="480"/>
        <w:divId w:val="208340846"/>
        <w:rPr>
          <w:rFonts w:ascii="Arial" w:hAnsi="Arial" w:cs="Arial"/>
          <w:sz w:val="18"/>
          <w:szCs w:val="18"/>
        </w:rPr>
      </w:pPr>
      <w:r>
        <w:rPr>
          <w:rFonts w:ascii="Arial" w:hAnsi="Arial" w:cs="Arial"/>
          <w:sz w:val="18"/>
          <w:szCs w:val="18"/>
        </w:rPr>
        <w:t>[16] C. Baeumer et al., Spectromicroscopic insights for rational design of redox-based memristive devices. Nature Communications 6, 8610 (2015).</w:t>
      </w:r>
    </w:p>
    <w:p w14:paraId="1828B3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[17] C. Baeumer et al., Quantifying redox-induced Schottky barrier variations in memristive devices via in operando spectromicroscopy with graphene electrodes. Nature Communications 7, 12398 (2016).</w:t>
      </w:r>
    </w:p>
    <w:p w14:paraId="6C7E3A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[18] C. Baeumer et al., Subfilamentary Networks Cause Cycle-to-Cycle Variability in Memristive Devices. ACS Nano 11, 6921–6929 (2017).</w:t>
      </w:r>
    </w:p>
    <w:p w14:paraId="419A7611" w14:textId="77777777" w:rsidR="00395E98" w:rsidRDefault="00395E98">
      <w:pPr>
        <w:spacing w:after="60"/>
        <w:ind w:hanging="480"/>
        <w:divId w:val="208340846"/>
        <w:rPr>
          <w:rFonts w:ascii="Arial" w:hAnsi="Arial" w:cs="Arial"/>
          <w:sz w:val="18"/>
          <w:szCs w:val="18"/>
        </w:rPr>
      </w:pPr>
      <w:r>
        <w:rPr>
          <w:rFonts w:ascii="Arial" w:hAnsi="Arial" w:cs="Arial"/>
          <w:sz w:val="18"/>
          <w:szCs w:val="18"/>
        </w:rPr>
        <w:t>[19] T. Heisig, C. Baeumer, U. N. Gries et al., Oxygen Exchange Processes between Oxide Memristive Devices and Water Molecules. Advanced Materials 30, 1800957 (2018).</w:t>
      </w:r>
    </w:p>
    <w:p w14:paraId="5DB04177" w14:textId="77777777" w:rsidR="00395E98" w:rsidRDefault="00395E98">
      <w:pPr>
        <w:spacing w:after="60"/>
        <w:ind w:hanging="480"/>
        <w:divId w:val="208340846"/>
        <w:rPr>
          <w:rFonts w:ascii="Arial" w:hAnsi="Arial" w:cs="Arial"/>
          <w:sz w:val="18"/>
          <w:szCs w:val="18"/>
        </w:rPr>
      </w:pPr>
      <w:r>
        <w:rPr>
          <w:rFonts w:ascii="Arial" w:hAnsi="Arial" w:cs="Arial"/>
          <w:sz w:val="18"/>
          <w:szCs w:val="18"/>
        </w:rPr>
        <w:t>[20] E. Sediva, W. J. Bowman, J. C. Gonzalez-Rosillo, J. L. M. Rupp, Investigation of the Eightwise Switching Mechanism and Its Suppression in SrTiO</w:t>
      </w:r>
      <w:r>
        <w:rPr>
          <w:rFonts w:ascii="Arial" w:hAnsi="Arial" w:cs="Arial"/>
          <w:sz w:val="18"/>
          <w:szCs w:val="18"/>
          <w:vertAlign w:val="subscript"/>
        </w:rPr>
        <w:t>3</w:t>
      </w:r>
      <w:r>
        <w:rPr>
          <w:rFonts w:ascii="Arial" w:hAnsi="Arial" w:cs="Arial"/>
          <w:sz w:val="18"/>
          <w:szCs w:val="18"/>
        </w:rPr>
        <w:t xml:space="preserve"> Modulated by Humidity and Interchanged Top and Bottom Platinum and LaNiO</w:t>
      </w:r>
      <w:r>
        <w:rPr>
          <w:rFonts w:ascii="Arial" w:hAnsi="Arial" w:cs="Arial"/>
          <w:sz w:val="18"/>
          <w:szCs w:val="18"/>
          <w:vertAlign w:val="subscript"/>
        </w:rPr>
        <w:t>3</w:t>
      </w:r>
      <w:r>
        <w:rPr>
          <w:rFonts w:ascii="Arial" w:hAnsi="Arial" w:cs="Arial"/>
          <w:sz w:val="18"/>
          <w:szCs w:val="18"/>
        </w:rPr>
        <w:t xml:space="preserve"> Electrode Contacts. Advanced Electronic Materials 5, 1800566 (2019).</w:t>
      </w:r>
    </w:p>
    <w:p w14:paraId="4DCC6386" w14:textId="77777777" w:rsidR="00395E98" w:rsidRDefault="00395E98">
      <w:pPr>
        <w:spacing w:after="60"/>
        <w:ind w:hanging="480"/>
        <w:divId w:val="208340846"/>
        <w:rPr>
          <w:rFonts w:ascii="Arial" w:hAnsi="Arial" w:cs="Arial"/>
          <w:sz w:val="18"/>
          <w:szCs w:val="18"/>
        </w:rPr>
      </w:pPr>
      <w:r>
        <w:rPr>
          <w:rFonts w:ascii="Arial" w:hAnsi="Arial" w:cs="Arial"/>
          <w:sz w:val="18"/>
          <w:szCs w:val="18"/>
        </w:rPr>
        <w:t>[21] E. Mikheev, B. D. Hoskins, D. B. Strukov, S. Stemmer, Resistive switching and its suppression in Pt/Nb:SrTiO</w:t>
      </w:r>
      <w:r>
        <w:rPr>
          <w:rFonts w:ascii="Arial" w:hAnsi="Arial" w:cs="Arial"/>
          <w:sz w:val="18"/>
          <w:szCs w:val="18"/>
          <w:vertAlign w:val="subscript"/>
        </w:rPr>
        <w:t>3</w:t>
      </w:r>
      <w:r>
        <w:rPr>
          <w:rFonts w:ascii="Arial" w:hAnsi="Arial" w:cs="Arial"/>
          <w:sz w:val="18"/>
          <w:szCs w:val="18"/>
        </w:rPr>
        <w:t xml:space="preserve"> junctions. Nature Communications 5, 3990 (2014).</w:t>
      </w:r>
    </w:p>
    <w:p w14:paraId="3512D7BC" w14:textId="77777777" w:rsidR="00395E98" w:rsidRDefault="00395E98">
      <w:pPr>
        <w:spacing w:after="60"/>
        <w:ind w:hanging="480"/>
        <w:divId w:val="208340846"/>
        <w:rPr>
          <w:rFonts w:ascii="Arial" w:hAnsi="Arial" w:cs="Arial"/>
          <w:sz w:val="18"/>
          <w:szCs w:val="18"/>
        </w:rPr>
      </w:pPr>
      <w:r>
        <w:rPr>
          <w:rFonts w:ascii="Arial" w:hAnsi="Arial" w:cs="Arial"/>
          <w:sz w:val="18"/>
          <w:szCs w:val="18"/>
        </w:rPr>
        <w:t>[22] K.-H. Son, H.-S. Lee, Grain boundary effect on the resistive switching characteristics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w:t>
      </w:r>
      <w:r>
        <w:rPr>
          <w:rFonts w:ascii="Arial" w:hAnsi="Arial" w:cs="Arial"/>
          <w:sz w:val="18"/>
          <w:szCs w:val="18"/>
        </w:rPr>
        <w:t xml:space="preserve"> directly patterned via photochemical organic-metal deposition. Applied Surface Science 575, 151754 (2022).</w:t>
      </w:r>
    </w:p>
    <w:p w14:paraId="2EEB08C9" w14:textId="77777777" w:rsidR="00395E98" w:rsidRDefault="00395E98">
      <w:pPr>
        <w:spacing w:after="60"/>
        <w:ind w:hanging="480"/>
        <w:divId w:val="208340846"/>
        <w:rPr>
          <w:rFonts w:ascii="Arial" w:hAnsi="Arial" w:cs="Arial"/>
          <w:sz w:val="18"/>
          <w:szCs w:val="18"/>
        </w:rPr>
      </w:pPr>
      <w:r>
        <w:rPr>
          <w:rFonts w:ascii="Arial" w:hAnsi="Arial" w:cs="Arial"/>
          <w:sz w:val="18"/>
          <w:szCs w:val="18"/>
        </w:rPr>
        <w:t>[23]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9BCD76C" w14:textId="77777777" w:rsidR="00395E98" w:rsidRDefault="00395E98">
      <w:pPr>
        <w:spacing w:after="60"/>
        <w:ind w:hanging="480"/>
        <w:divId w:val="208340846"/>
        <w:rPr>
          <w:rFonts w:ascii="Arial" w:hAnsi="Arial" w:cs="Arial"/>
          <w:sz w:val="18"/>
          <w:szCs w:val="18"/>
        </w:rPr>
      </w:pPr>
      <w:r>
        <w:rPr>
          <w:rFonts w:ascii="Arial" w:hAnsi="Arial" w:cs="Arial"/>
          <w:sz w:val="18"/>
          <w:szCs w:val="18"/>
        </w:rPr>
        <w:t>[24]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2CA0F9E4" w14:textId="77777777" w:rsidR="00395E98" w:rsidRDefault="00395E98">
      <w:pPr>
        <w:spacing w:after="60"/>
        <w:ind w:hanging="480"/>
        <w:divId w:val="208340846"/>
        <w:rPr>
          <w:rFonts w:ascii="Arial" w:hAnsi="Arial" w:cs="Arial"/>
          <w:sz w:val="18"/>
          <w:szCs w:val="18"/>
        </w:rPr>
      </w:pPr>
      <w:r>
        <w:rPr>
          <w:rFonts w:ascii="Arial" w:hAnsi="Arial" w:cs="Arial"/>
          <w:sz w:val="18"/>
          <w:szCs w:val="18"/>
        </w:rPr>
        <w:t>[25]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69F6763" w14:textId="77777777" w:rsidR="00395E98" w:rsidRDefault="00395E98">
      <w:pPr>
        <w:spacing w:after="60"/>
        <w:ind w:hanging="480"/>
        <w:divId w:val="208340846"/>
        <w:rPr>
          <w:rFonts w:ascii="Arial" w:hAnsi="Arial" w:cs="Arial"/>
          <w:sz w:val="18"/>
          <w:szCs w:val="18"/>
        </w:rPr>
      </w:pPr>
      <w:r>
        <w:rPr>
          <w:rFonts w:ascii="Arial" w:hAnsi="Arial" w:cs="Arial"/>
          <w:sz w:val="18"/>
          <w:szCs w:val="18"/>
        </w:rPr>
        <w:t>[26] D. N. Mueller, M. L. Machala, H. Bluhm, W. C. Chueh, Redox activity of surface oxygen anions in oxygen-deficient perovskite oxides during electrochemical reactions. Nature Communications 6, 6097 (2015).</w:t>
      </w:r>
    </w:p>
    <w:p w14:paraId="1C4E065A" w14:textId="77777777" w:rsidR="00395E98" w:rsidRDefault="00395E98">
      <w:pPr>
        <w:spacing w:after="60"/>
        <w:ind w:hanging="480"/>
        <w:divId w:val="208340846"/>
        <w:rPr>
          <w:rFonts w:ascii="Arial" w:hAnsi="Arial" w:cs="Arial"/>
          <w:sz w:val="18"/>
          <w:szCs w:val="18"/>
        </w:rPr>
      </w:pPr>
      <w:r>
        <w:rPr>
          <w:rFonts w:ascii="Arial" w:hAnsi="Arial" w:cs="Arial"/>
          <w:sz w:val="18"/>
          <w:szCs w:val="18"/>
        </w:rPr>
        <w:t>[27]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785665D0" w14:textId="77777777" w:rsidR="00395E98" w:rsidRDefault="00395E98">
      <w:pPr>
        <w:spacing w:after="60"/>
        <w:ind w:hanging="480"/>
        <w:divId w:val="208340846"/>
        <w:rPr>
          <w:rFonts w:ascii="Arial" w:hAnsi="Arial" w:cs="Arial"/>
          <w:sz w:val="18"/>
          <w:szCs w:val="18"/>
        </w:rPr>
      </w:pPr>
      <w:r>
        <w:rPr>
          <w:rFonts w:ascii="Arial" w:hAnsi="Arial" w:cs="Arial"/>
          <w:sz w:val="18"/>
          <w:szCs w:val="18"/>
        </w:rPr>
        <w:t>[28] M. Wuttig et al., Revisiting the Nature of Chemical Bonding in Chalcogenides to Explain and Design their Properties. Advanced Materials 35, 2208485 (2023).</w:t>
      </w:r>
    </w:p>
    <w:p w14:paraId="258CC278" w14:textId="77777777" w:rsidR="00395E98" w:rsidRDefault="00395E98">
      <w:pPr>
        <w:spacing w:after="60"/>
        <w:ind w:hanging="480"/>
        <w:divId w:val="208340846"/>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40D2A45" w14:textId="77777777" w:rsidR="00395E98" w:rsidRDefault="00395E98">
      <w:pPr>
        <w:spacing w:after="60"/>
        <w:ind w:hanging="480"/>
        <w:divId w:val="208340846"/>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81B6725" w14:textId="77777777" w:rsidR="00395E98" w:rsidRDefault="00395E98">
      <w:pPr>
        <w:spacing w:after="60"/>
        <w:ind w:hanging="480"/>
        <w:divId w:val="208340846"/>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E50B442" w14:textId="77777777" w:rsidR="00395E98" w:rsidRDefault="00395E98">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A54612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201C32"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FE68A4D"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300925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20AD7A"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ABE8A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538077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DA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EDA93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7E53D9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8558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98507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0303B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2704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2B2B7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D4E54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5408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6888A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080431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057A5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346B4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65DA85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E50F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7CD4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B42D9AE" w14:textId="77777777" w:rsidR="00395E98" w:rsidRDefault="00395E98">
      <w:pPr>
        <w:pStyle w:val="Heading2"/>
        <w:rPr>
          <w:rFonts w:ascii="Arial" w:eastAsia="Times New Roman" w:hAnsi="Arial" w:cs="Arial"/>
        </w:rPr>
      </w:pPr>
      <w:r>
        <w:rPr>
          <w:rFonts w:ascii="Arial" w:eastAsia="Times New Roman" w:hAnsi="Arial" w:cs="Arial"/>
        </w:rPr>
        <w:t>Fellowship benefits (for orientation, as of 2026)</w:t>
      </w:r>
    </w:p>
    <w:p w14:paraId="1EA59F10" w14:textId="77777777" w:rsidR="00395E98" w:rsidRDefault="00395E98">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395E9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57138"/>
    <w:rsid w:val="00395E98"/>
    <w:rsid w:val="00A57138"/>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14FE"/>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4084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2937</Words>
  <Characters>16746</Characters>
  <Application>Microsoft Office Word</Application>
  <DocSecurity>4</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