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20FE7" w14:textId="77777777" w:rsidR="001761AA" w:rsidRDefault="001761AA">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3E2901D6" w14:textId="77777777" w:rsidR="001761AA" w:rsidRDefault="001761AA">
      <w:pPr>
        <w:pStyle w:val="NormalWeb"/>
        <w:rPr>
          <w:rFonts w:ascii="Arial" w:hAnsi="Arial" w:cs="Arial"/>
          <w:sz w:val="21"/>
          <w:szCs w:val="21"/>
        </w:rPr>
      </w:pPr>
      <w:r>
        <w:rPr>
          <w:rFonts w:ascii="Arial" w:hAnsi="Arial" w:cs="Arial"/>
          <w:sz w:val="21"/>
          <w:szCs w:val="21"/>
        </w:rPr>
        <w:t> </w:t>
      </w:r>
    </w:p>
    <w:p w14:paraId="46383E51" w14:textId="77777777" w:rsidR="001761AA" w:rsidRDefault="001761AA">
      <w:pPr>
        <w:pStyle w:val="NormalWeb"/>
        <w:rPr>
          <w:rFonts w:ascii="Arial" w:hAnsi="Arial" w:cs="Arial"/>
          <w:sz w:val="21"/>
          <w:szCs w:val="21"/>
        </w:rPr>
      </w:pPr>
      <w:r>
        <w:rPr>
          <w:rFonts w:ascii="Arial" w:hAnsi="Arial" w:cs="Arial"/>
          <w:sz w:val="21"/>
          <w:szCs w:val="21"/>
        </w:rPr>
        <w:t> </w:t>
      </w:r>
    </w:p>
    <w:p w14:paraId="76BB7F84" w14:textId="77777777" w:rsidR="001761AA" w:rsidRDefault="001761AA">
      <w:pPr>
        <w:pStyle w:val="NormalWeb"/>
        <w:rPr>
          <w:rFonts w:ascii="Arial" w:hAnsi="Arial" w:cs="Arial"/>
          <w:sz w:val="21"/>
          <w:szCs w:val="21"/>
        </w:rPr>
      </w:pPr>
      <w:r>
        <w:rPr>
          <w:rFonts w:ascii="Arial" w:hAnsi="Arial" w:cs="Arial"/>
          <w:sz w:val="21"/>
          <w:szCs w:val="21"/>
        </w:rPr>
        <w:t> </w:t>
      </w:r>
    </w:p>
    <w:p w14:paraId="1217DFD8" w14:textId="77777777" w:rsidR="001761AA" w:rsidRDefault="001761AA">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38F322BB" w14:textId="77777777" w:rsidR="001761AA" w:rsidRDefault="001761AA">
      <w:pPr>
        <w:pStyle w:val="NormalWeb"/>
        <w:rPr>
          <w:rFonts w:ascii="Arial" w:hAnsi="Arial" w:cs="Arial"/>
          <w:sz w:val="21"/>
          <w:szCs w:val="21"/>
        </w:rPr>
      </w:pPr>
      <w:r>
        <w:rPr>
          <w:rFonts w:ascii="Arial" w:hAnsi="Arial" w:cs="Arial"/>
          <w:sz w:val="21"/>
          <w:szCs w:val="21"/>
        </w:rPr>
        <w:t> </w:t>
      </w:r>
    </w:p>
    <w:p w14:paraId="628841CA" w14:textId="77777777" w:rsidR="001761AA" w:rsidRDefault="001761AA">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La</w:t>
      </w:r>
      <w:r>
        <w:rPr>
          <w:rFonts w:ascii="Arial" w:hAnsi="Arial" w:cs="Arial"/>
          <w:b/>
          <w:bCs/>
          <w:sz w:val="26"/>
          <w:szCs w:val="26"/>
          <w:vertAlign w:val="subscript"/>
        </w:rPr>
        <w:t>1-x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FeO</w:t>
      </w:r>
      <w:r>
        <w:rPr>
          <w:rFonts w:ascii="Arial" w:hAnsi="Arial" w:cs="Arial"/>
          <w:b/>
          <w:bCs/>
          <w:sz w:val="26"/>
          <w:szCs w:val="26"/>
          <w:vertAlign w:val="subscript"/>
        </w:rPr>
        <w:t>3-δ</w:t>
      </w:r>
      <w:r>
        <w:rPr>
          <w:rFonts w:ascii="Arial" w:hAnsi="Arial" w:cs="Arial"/>
          <w:b/>
          <w:bCs/>
          <w:sz w:val="26"/>
          <w:szCs w:val="26"/>
        </w:rPr>
        <w:t xml:space="preserve"> Model Series</w:t>
      </w:r>
    </w:p>
    <w:p w14:paraId="2050C4C4" w14:textId="77777777" w:rsidR="001761AA" w:rsidRDefault="001761AA">
      <w:pPr>
        <w:pStyle w:val="NormalWeb"/>
        <w:rPr>
          <w:rFonts w:ascii="Arial" w:hAnsi="Arial" w:cs="Arial"/>
          <w:sz w:val="21"/>
          <w:szCs w:val="21"/>
        </w:rPr>
      </w:pPr>
      <w:r>
        <w:rPr>
          <w:rFonts w:ascii="Arial" w:hAnsi="Arial" w:cs="Arial"/>
          <w:sz w:val="21"/>
          <w:szCs w:val="21"/>
        </w:rPr>
        <w:t> </w:t>
      </w:r>
    </w:p>
    <w:p w14:paraId="559959A2" w14:textId="77777777" w:rsidR="001761AA" w:rsidRDefault="001761A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D38D072"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109229"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427D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1BBE967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19CD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B1F5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398B6A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F13BE"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C548E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780990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3486B"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DFDA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67CAC4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15ACD"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51DF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5D9E87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F277A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E5A95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5B122F9" w14:textId="77777777" w:rsidR="001761AA" w:rsidRDefault="001761AA">
      <w:pPr>
        <w:pStyle w:val="NormalWeb"/>
        <w:rPr>
          <w:rFonts w:ascii="Arial" w:hAnsi="Arial" w:cs="Arial"/>
          <w:sz w:val="21"/>
          <w:szCs w:val="21"/>
        </w:rPr>
      </w:pPr>
      <w:r>
        <w:rPr>
          <w:rFonts w:ascii="Arial" w:hAnsi="Arial" w:cs="Arial"/>
          <w:sz w:val="21"/>
          <w:szCs w:val="21"/>
        </w:rPr>
        <w:t> </w:t>
      </w:r>
    </w:p>
    <w:p w14:paraId="179764FB" w14:textId="77777777" w:rsidR="001761AA" w:rsidRDefault="001761AA">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26099F57" w14:textId="77777777" w:rsidR="001761AA" w:rsidRDefault="001761AA">
      <w:pPr>
        <w:pStyle w:val="Heading1"/>
        <w:pageBreakBefore/>
        <w:rPr>
          <w:rFonts w:ascii="Arial" w:eastAsia="Times New Roman" w:hAnsi="Arial" w:cs="Arial"/>
        </w:rPr>
      </w:pPr>
      <w:r>
        <w:rPr>
          <w:rFonts w:ascii="Arial" w:eastAsia="Times New Roman" w:hAnsi="Arial" w:cs="Arial"/>
        </w:rPr>
        <w:lastRenderedPageBreak/>
        <w:t>Research Proposal (Exposé)</w:t>
      </w:r>
    </w:p>
    <w:p w14:paraId="5A32A23F" w14:textId="77777777" w:rsidR="001761AA" w:rsidRDefault="001761AA">
      <w:pPr>
        <w:pStyle w:val="Heading2"/>
        <w:rPr>
          <w:rFonts w:ascii="Arial" w:eastAsia="Times New Roman" w:hAnsi="Arial" w:cs="Arial"/>
        </w:rPr>
      </w:pPr>
      <w:r>
        <w:rPr>
          <w:rFonts w:ascii="Arial" w:eastAsia="Times New Roman" w:hAnsi="Arial" w:cs="Arial"/>
        </w:rPr>
        <w:t>1  Research question and scientific significance</w:t>
      </w:r>
    </w:p>
    <w:p w14:paraId="63873C54" w14:textId="77777777" w:rsidR="001761AA" w:rsidRDefault="001761AA">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ideally suited model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(LSFO).</w:t>
      </w:r>
    </w:p>
    <w:p w14:paraId="56223C81" w14:textId="77777777" w:rsidR="001761AA" w:rsidRDefault="001761AA">
      <w:pPr>
        <w:pStyle w:val="NormalWeb"/>
        <w:rPr>
          <w:rFonts w:ascii="Arial" w:hAnsi="Arial" w:cs="Arial"/>
          <w:sz w:val="21"/>
          <w:szCs w:val="21"/>
        </w:rPr>
      </w:pPr>
      <w:r>
        <w:rPr>
          <w:rFonts w:ascii="Arial" w:hAnsi="Arial" w:cs="Arial"/>
          <w:sz w:val="21"/>
          <w:szCs w:val="21"/>
        </w:rPr>
        <w:t>LSFO is the perfect test system: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lowers E</w:t>
      </w:r>
      <w:r>
        <w:rPr>
          <w:rFonts w:ascii="Arial" w:hAnsi="Arial" w:cs="Arial"/>
          <w:sz w:val="21"/>
          <w:szCs w:val="21"/>
          <w:vertAlign w:val="subscript"/>
        </w:rPr>
        <w:t>V</w:t>
      </w:r>
      <w:r>
        <w:rPr>
          <w:rFonts w:ascii="Arial" w:hAnsi="Arial" w:cs="Arial"/>
          <w:sz w:val="21"/>
          <w:szCs w:val="21"/>
        </w:rPr>
        <w:t xml:space="preserve"> continuously from about 4 eV (x = 0) to below 1 eV (x = 0.5) [9] and increases the Fe–O covalency measurably in the O-K pre-edge of X-ray absorption [10, 11] – at unchanged perovskite structure. Both end members are documented switching materials: SrFeO</w:t>
      </w:r>
      <w:r>
        <w:rPr>
          <w:rFonts w:ascii="Arial" w:hAnsi="Arial" w:cs="Arial"/>
          <w:sz w:val="21"/>
          <w:szCs w:val="21"/>
          <w:vertAlign w:val="subscript"/>
        </w:rPr>
        <w:t>3-δ</w:t>
      </w:r>
      <w:r>
        <w:rPr>
          <w:rFonts w:ascii="Arial" w:hAnsi="Arial" w:cs="Arial"/>
          <w:sz w:val="21"/>
          <w:szCs w:val="21"/>
        </w:rPr>
        <w:t>/SrFeO</w:t>
      </w:r>
      <w:r>
        <w:rPr>
          <w:rFonts w:ascii="Arial" w:hAnsi="Arial" w:cs="Arial"/>
          <w:sz w:val="21"/>
          <w:szCs w:val="21"/>
          <w:vertAlign w:val="subscript"/>
        </w:rPr>
        <w:t>2.5</w:t>
      </w:r>
      <w:r>
        <w:rPr>
          <w:rFonts w:ascii="Arial" w:hAnsi="Arial" w:cs="Arial"/>
          <w:sz w:val="21"/>
          <w:szCs w:val="21"/>
        </w:rPr>
        <w:t xml:space="preserve"> switches topotactically with ON/OFF ratios around 10</w:t>
      </w:r>
      <w:r>
        <w:rPr>
          <w:rFonts w:ascii="Arial" w:hAnsi="Arial" w:cs="Arial"/>
          <w:sz w:val="21"/>
          <w:szCs w:val="21"/>
          <w:vertAlign w:val="superscript"/>
        </w:rPr>
        <w:t>4</w:t>
      </w:r>
      <w:r>
        <w:rPr>
          <w:rFonts w:ascii="Arial" w:hAnsi="Arial" w:cs="Arial"/>
          <w:sz w:val="21"/>
          <w:szCs w:val="21"/>
        </w:rPr>
        <w:t xml:space="preserve"> [12, 13], while LaFeO</w:t>
      </w:r>
      <w:r>
        <w:rPr>
          <w:rFonts w:ascii="Arial" w:hAnsi="Arial" w:cs="Arial"/>
          <w:sz w:val="21"/>
          <w:szCs w:val="21"/>
          <w:vertAlign w:val="subscript"/>
        </w:rPr>
        <w:t>3</w:t>
      </w:r>
      <w:r>
        <w:rPr>
          <w:rFonts w:ascii="Arial" w:hAnsi="Arial" w:cs="Arial"/>
          <w:sz w:val="21"/>
          <w:szCs w:val="21"/>
        </w:rPr>
        <w:t xml:space="preserve">, a robust insulator, is only rudimentarily switching-active [14]. For the intermediate compositions, however, not a single memristor study exists – a gap secured by my systematic literature analysis. The closest existing work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electrochemically over four orders of magnitude [15], demonstrating feasibility without answering the memristor question. The few stoichiometry-dependent switching studies on related manganites consistently show a </w:t>
      </w:r>
      <w:r>
        <w:rPr>
          <w:rFonts w:ascii="Arial" w:hAnsi="Arial" w:cs="Arial"/>
          <w:i/>
          <w:iCs/>
          <w:sz w:val="21"/>
          <w:szCs w:val="21"/>
        </w:rPr>
        <w:t>non-monotonic optimum</w:t>
      </w:r>
      <w:r>
        <w:rPr>
          <w:rFonts w:ascii="Arial" w:hAnsi="Arial" w:cs="Arial"/>
          <w:sz w:val="21"/>
          <w:szCs w:val="21"/>
        </w:rPr>
        <w:t xml:space="preserve"> of the switching window with doping [16, 17] – my central hypothesis is therefore that the usable switching window of LSFO is maximal at intermediate covalency (“Goldilocks zone”) and that this position can be predicted from the XAS covalency descriptor.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14:paraId="7A780078" w14:textId="77777777" w:rsidR="001761AA" w:rsidRDefault="001761AA">
      <w:pPr>
        <w:pStyle w:val="Heading2"/>
        <w:rPr>
          <w:rFonts w:ascii="Arial" w:eastAsia="Times New Roman" w:hAnsi="Arial" w:cs="Arial"/>
        </w:rPr>
      </w:pPr>
      <w:r>
        <w:rPr>
          <w:rFonts w:ascii="Arial" w:eastAsia="Times New Roman" w:hAnsi="Arial" w:cs="Arial"/>
        </w:rPr>
        <w:t>2  Why the Chueh group at Stanford is the ideal place</w:t>
      </w:r>
    </w:p>
    <w:p w14:paraId="68B6F31A" w14:textId="77777777" w:rsidR="001761AA" w:rsidRDefault="001761AA">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4D9921DC" w14:textId="77777777" w:rsidR="001761AA" w:rsidRDefault="001761AA">
      <w:pPr>
        <w:pStyle w:val="Heading2"/>
        <w:rPr>
          <w:rFonts w:ascii="Arial" w:eastAsia="Times New Roman" w:hAnsi="Arial" w:cs="Arial"/>
        </w:rPr>
      </w:pPr>
      <w:r>
        <w:rPr>
          <w:rFonts w:ascii="Arial" w:eastAsia="Times New Roman" w:hAnsi="Arial" w:cs="Arial"/>
        </w:rPr>
        <w:t>3  Work programme (24 months)</w:t>
      </w:r>
    </w:p>
    <w:p w14:paraId="06B4C09A" w14:textId="77777777" w:rsidR="001761AA" w:rsidRDefault="001761AA">
      <w:pPr>
        <w:pStyle w:val="Heading3"/>
        <w:rPr>
          <w:rFonts w:ascii="Arial" w:eastAsia="Times New Roman" w:hAnsi="Arial" w:cs="Arial"/>
        </w:rPr>
      </w:pPr>
      <w:r>
        <w:rPr>
          <w:rFonts w:ascii="Arial" w:eastAsia="Times New Roman" w:hAnsi="Arial" w:cs="Arial"/>
        </w:rPr>
        <w:t xml:space="preserve">WP1 – Synthesis and descriptor measurement of the LSFO series (months 1–10)</w:t>
      </w:r>
    </w:p>
    <w:p w14:paraId="5F4D98F4" w14:textId="77777777" w:rsidR="001761AA" w:rsidRDefault="001761AA">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films (x = 0; 0.2; 0.33; 0.5; 0.67; 1)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determination of cation and oxygen stoichiometry (XPS, RBS where required). In parallel, first XAS campaign at SSRL: O-K pre-edge quantification following the procedure of Suntivich et al. [11] and Fe-L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3EF1ADA5" w14:textId="77777777" w:rsidR="001761AA" w:rsidRDefault="001761AA">
      <w:pPr>
        <w:pStyle w:val="Heading3"/>
        <w:rPr>
          <w:rFonts w:ascii="Arial" w:eastAsia="Times New Roman" w:hAnsi="Arial" w:cs="Arial"/>
        </w:rPr>
      </w:pPr>
      <w:r>
        <w:rPr>
          <w:rFonts w:ascii="Arial" w:eastAsia="Times New Roman" w:hAnsi="Arial" w:cs="Arial"/>
        </w:rPr>
        <w:t>WP2 – Devices and switching characterisation (months 8–18)</w:t>
      </w:r>
    </w:p>
    <w:p w14:paraId="589F6716" w14:textId="77777777" w:rsidR="001761AA" w:rsidRDefault="001761AA">
      <w:pPr>
        <w:pStyle w:val="NormalWeb"/>
        <w:rPr>
          <w:rFonts w:ascii="Arial" w:hAnsi="Arial" w:cs="Arial"/>
          <w:sz w:val="21"/>
          <w:szCs w:val="21"/>
        </w:rPr>
      </w:pPr>
      <w:r>
        <w:rPr>
          <w:rFonts w:ascii="Arial" w:hAnsi="Arial" w:cs="Arial"/>
          <w:sz w:val="21"/>
          <w:szCs w:val="21"/>
        </w:rPr>
        <w:t>Processing of identical Pt/LSFO/Nb:SrTiO</w:t>
      </w:r>
      <w:r>
        <w:rPr>
          <w:rFonts w:ascii="Arial" w:hAnsi="Arial" w:cs="Arial"/>
          <w:sz w:val="21"/>
          <w:szCs w:val="21"/>
          <w:vertAlign w:val="subscript"/>
        </w:rPr>
        <w:t>3</w:t>
      </w:r>
      <w:r>
        <w:rPr>
          <w:rFonts w:ascii="Arial" w:hAnsi="Arial" w:cs="Arial"/>
          <w:sz w:val="21"/>
          <w:szCs w:val="21"/>
        </w:rPr>
        <w:t xml:space="preserve">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with robust statistics.</w:t>
      </w:r>
    </w:p>
    <w:p w14:paraId="76429027" w14:textId="77777777" w:rsidR="001761AA" w:rsidRDefault="001761AA">
      <w:pPr>
        <w:pStyle w:val="Heading3"/>
        <w:rPr>
          <w:rFonts w:ascii="Arial" w:eastAsia="Times New Roman" w:hAnsi="Arial" w:cs="Arial"/>
        </w:rPr>
      </w:pPr>
      <w:r>
        <w:rPr>
          <w:rFonts w:ascii="Arial" w:eastAsia="Times New Roman" w:hAnsi="Arial" w:cs="Arial"/>
        </w:rPr>
        <w:t>WP3 – Correlation, operando validation and publication (months 16–24)</w:t>
      </w:r>
    </w:p>
    <w:p w14:paraId="72A12E36" w14:textId="77777777" w:rsidR="001761AA" w:rsidRDefault="001761AA">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DFT [9]) ↔ switching metrics; test of the optimum hypothesis.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2C76CC2C" w14:textId="77777777" w:rsidR="001761AA" w:rsidRDefault="001761AA">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7D7F09AD"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48385E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4B3F70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718D62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EDBA33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B11CFD8"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55F8157"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BF1A15A"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FC7BCC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CA127C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15B529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A327B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7405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AB3D0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518BC4"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6B9D9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899D52"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65291B"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6D43C"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69036C" w14:textId="77777777" w:rsidR="001761AA" w:rsidRDefault="001761AA">
            <w:pPr>
              <w:spacing w:before="120" w:after="200"/>
              <w:jc w:val="center"/>
              <w:rPr>
                <w:rFonts w:eastAsia="Times New Roman"/>
                <w:sz w:val="20"/>
                <w:szCs w:val="20"/>
              </w:rPr>
            </w:pPr>
          </w:p>
        </w:tc>
      </w:tr>
      <w:tr w:rsidR="00000000" w14:paraId="4E8978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00BA8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10D3C"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58D1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E374F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B02FF"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7EAD4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C96E6D"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9E474E"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250FA" w14:textId="77777777" w:rsidR="001761AA" w:rsidRDefault="001761AA">
            <w:pPr>
              <w:spacing w:before="120" w:after="200"/>
              <w:jc w:val="center"/>
              <w:rPr>
                <w:rFonts w:eastAsia="Times New Roman"/>
                <w:sz w:val="20"/>
                <w:szCs w:val="20"/>
              </w:rPr>
            </w:pPr>
          </w:p>
        </w:tc>
      </w:tr>
      <w:tr w:rsidR="00000000" w14:paraId="6FE697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77C5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98221"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1D6C5"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E938E7"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8E0F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1C397A"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5E8EA"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5552E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C93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C484283" w14:textId="77777777" w:rsidR="001761AA" w:rsidRDefault="001761AA">
      <w:pPr>
        <w:pStyle w:val="Heading2"/>
        <w:rPr>
          <w:rFonts w:ascii="Arial" w:eastAsia="Times New Roman" w:hAnsi="Arial" w:cs="Arial"/>
        </w:rPr>
      </w:pPr>
      <w:r>
        <w:rPr>
          <w:rFonts w:ascii="Arial" w:eastAsia="Times New Roman" w:hAnsi="Arial" w:cs="Arial"/>
        </w:rPr>
        <w:t>5  Career perspective and return strategy</w:t>
      </w:r>
    </w:p>
    <w:p w14:paraId="7B2C99FE" w14:textId="77777777" w:rsidR="001761AA" w:rsidRDefault="001761AA">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LSFO dataset, spanning the largest documented E</w:t>
      </w:r>
      <w:r>
        <w:rPr>
          <w:rFonts w:ascii="Arial" w:hAnsi="Arial" w:cs="Arial"/>
          <w:sz w:val="21"/>
          <w:szCs w:val="21"/>
          <w:vertAlign w:val="subscript"/>
        </w:rPr>
        <w:t>V</w:t>
      </w:r>
      <w:r>
        <w:rPr>
          <w:rFonts w:ascii="Arial" w:hAnsi="Arial" w:cs="Arial"/>
          <w:sz w:val="21"/>
          <w:szCs w:val="21"/>
        </w:rPr>
        <w:t xml:space="preserve"> range of any perovskite series) for the larger programme of a “treasure map” of memristive oxides in analogy to the bonding-descriptor maps of Wuttig et al. [21]. The subsequent group programme then extends the methodology to the manganite and cobaltite families and charts the topotactic mechanism boundary that the LSFO series itself approaches at its Sr-rich end.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791C8F98" w14:textId="77777777" w:rsidR="001761AA" w:rsidRDefault="001761AA">
      <w:pPr>
        <w:pStyle w:val="Heading2"/>
        <w:rPr>
          <w:rFonts w:ascii="Arial" w:eastAsia="Times New Roman" w:hAnsi="Arial" w:cs="Arial"/>
        </w:rPr>
      </w:pPr>
      <w:r>
        <w:rPr>
          <w:rFonts w:ascii="Arial" w:eastAsia="Times New Roman" w:hAnsi="Arial" w:cs="Arial"/>
        </w:rPr>
        <w:t>6  References</w:t>
      </w:r>
    </w:p>
    <w:p w14:paraId="57BDB0D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 R. Waser, M. Aono, Nanoionics-based resistive switching memories. Nature Materials 6, 833–840 (2007).</w:t>
      </w:r>
    </w:p>
    <w:p w14:paraId="2335A3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5BCF95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45A88FA5" w14:textId="77777777" w:rsidR="001761AA" w:rsidRDefault="001761AA">
      <w:pPr>
        <w:spacing w:after="60"/>
        <w:ind w:hanging="480"/>
        <w:divId w:val="1197347534"/>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E9B95D7" w14:textId="77777777" w:rsidR="001761AA" w:rsidRDefault="001761AA">
      <w:pPr>
        <w:spacing w:after="60"/>
        <w:ind w:hanging="480"/>
        <w:divId w:val="1197347534"/>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1D03E55" w14:textId="77777777" w:rsidR="001761AA" w:rsidRDefault="001761AA">
      <w:pPr>
        <w:spacing w:after="60"/>
        <w:ind w:hanging="480"/>
        <w:divId w:val="1197347534"/>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0CF42C02" w14:textId="77777777" w:rsidR="001761AA" w:rsidRDefault="001761AA">
      <w:pPr>
        <w:spacing w:after="60"/>
        <w:ind w:hanging="480"/>
        <w:divId w:val="1197347534"/>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0E48F623" w14:textId="77777777" w:rsidR="001761AA" w:rsidRDefault="001761AA">
      <w:pPr>
        <w:spacing w:after="60"/>
        <w:ind w:hanging="480"/>
        <w:divId w:val="1197347534"/>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2017530A" w14:textId="77777777" w:rsidR="001761AA" w:rsidRDefault="001761AA">
      <w:pPr>
        <w:spacing w:after="60"/>
        <w:ind w:hanging="480"/>
        <w:divId w:val="1197347534"/>
        <w:rPr>
          <w:rFonts w:ascii="Arial" w:hAnsi="Arial" w:cs="Arial"/>
          <w:sz w:val="18"/>
          <w:szCs w:val="18"/>
        </w:rPr>
      </w:pPr>
      <w:r>
        <w:rPr>
          <w:rFonts w:ascii="Arial" w:hAnsi="Arial" w:cs="Arial"/>
          <w:sz w:val="18"/>
          <w:szCs w:val="18"/>
        </w:rPr>
        <w:t>[9]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9D974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659683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0EFEFC4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[12]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672075B9" w14:textId="77777777" w:rsidR="001761AA" w:rsidRDefault="001761AA">
      <w:pPr>
        <w:spacing w:after="60"/>
        <w:ind w:hanging="480"/>
        <w:divId w:val="1197347534"/>
        <w:rPr>
          <w:rFonts w:ascii="Arial" w:hAnsi="Arial" w:cs="Arial"/>
          <w:sz w:val="18"/>
          <w:szCs w:val="18"/>
        </w:rPr>
      </w:pPr>
      <w:r>
        <w:rPr>
          <w:rFonts w:ascii="Arial" w:hAnsi="Arial" w:cs="Arial"/>
          <w:sz w:val="18"/>
          <w:szCs w:val="18"/>
        </w:rPr>
        <w:t>[13]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63511CD0" w14:textId="77777777" w:rsidR="001761AA" w:rsidRDefault="001761AA">
      <w:pPr>
        <w:spacing w:after="60"/>
        <w:ind w:hanging="480"/>
        <w:divId w:val="1197347534"/>
        <w:rPr>
          <w:rFonts w:ascii="Arial" w:hAnsi="Arial" w:cs="Arial"/>
          <w:sz w:val="18"/>
          <w:szCs w:val="18"/>
        </w:rPr>
      </w:pPr>
      <w:r>
        <w:rPr>
          <w:rFonts w:ascii="Arial" w:hAnsi="Arial" w:cs="Arial"/>
          <w:sz w:val="18"/>
          <w:szCs w:val="18"/>
        </w:rPr>
        <w:t>[14]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39CB32E7" w14:textId="77777777" w:rsidR="001761AA" w:rsidRDefault="001761AA">
      <w:pPr>
        <w:spacing w:after="60"/>
        <w:ind w:hanging="480"/>
        <w:divId w:val="1197347534"/>
        <w:rPr>
          <w:rFonts w:ascii="Arial" w:hAnsi="Arial" w:cs="Arial"/>
          <w:sz w:val="18"/>
          <w:szCs w:val="18"/>
        </w:rPr>
      </w:pPr>
      <w:r>
        <w:rPr>
          <w:rFonts w:ascii="Arial" w:hAnsi="Arial" w:cs="Arial"/>
          <w:sz w:val="18"/>
          <w:szCs w:val="18"/>
        </w:rPr>
        <w:t>[15]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436C8B8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630A7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398EEA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1D08E82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79BF8F7C" w14:textId="77777777" w:rsidR="001761AA" w:rsidRDefault="001761AA">
      <w:pPr>
        <w:spacing w:after="60"/>
        <w:ind w:hanging="480"/>
        <w:divId w:val="1197347534"/>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44F08E65" w14:textId="77777777" w:rsidR="001761AA" w:rsidRDefault="001761AA">
      <w:pPr>
        <w:spacing w:after="60"/>
        <w:ind w:hanging="480"/>
        <w:divId w:val="1197347534"/>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14:paraId="5B938664" w14:textId="77777777" w:rsidR="001761AA" w:rsidRDefault="001761AA">
      <w:pPr>
        <w:spacing w:after="60"/>
        <w:ind w:hanging="480"/>
        <w:divId w:val="119734753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5979207" w14:textId="77777777" w:rsidR="001761AA" w:rsidRDefault="001761AA">
      <w:pPr>
        <w:spacing w:after="60"/>
        <w:ind w:hanging="480"/>
        <w:divId w:val="119734753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C9FF5E" w14:textId="77777777" w:rsidR="001761AA" w:rsidRDefault="001761AA">
      <w:pPr>
        <w:spacing w:after="60"/>
        <w:ind w:hanging="480"/>
        <w:divId w:val="119734753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7A569768" w14:textId="77777777" w:rsidR="001761AA" w:rsidRDefault="001761AA">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21D41E61"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6FB5DF3"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4502624"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538F13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9E26E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4790E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44011F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96C88"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F563C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4EBA4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1624C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D531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373C69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3AAA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6B53E"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23613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95879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8061D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1A62C5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92326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A45BC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33D50CF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314DF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9DC4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F5FA399" w14:textId="77777777" w:rsidR="001761AA" w:rsidRDefault="001761AA">
      <w:pPr>
        <w:pStyle w:val="Heading2"/>
        <w:rPr>
          <w:rFonts w:ascii="Arial" w:eastAsia="Times New Roman" w:hAnsi="Arial" w:cs="Arial"/>
        </w:rPr>
      </w:pPr>
      <w:r>
        <w:rPr>
          <w:rFonts w:ascii="Arial" w:eastAsia="Times New Roman" w:hAnsi="Arial" w:cs="Arial"/>
        </w:rPr>
        <w:t>Fellowship benefits (for orientation, as of 2026)</w:t>
      </w:r>
    </w:p>
    <w:p w14:paraId="6313D0B7" w14:textId="77777777" w:rsidR="001761AA" w:rsidRDefault="001761AA">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1761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7DB9"/>
    <w:rsid w:val="00107DB9"/>
    <w:rsid w:val="001761AA"/>
    <w:rsid w:val="004F21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4349C8"/>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34753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2259</Words>
  <Characters>12880</Characters>
  <Application>Microsoft Office Word</Application>
  <DocSecurity>4</DocSecurity>
  <Lines>107</Lines>
  <Paragraphs>30</Paragraphs>
  <ScaleCrop>false</ScaleCrop>
  <Company/>
  <LinksUpToDate>false</LinksUpToDate>
  <CharactersWithSpaces>15109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