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3E8F" w14:textId="77777777" w:rsidR="00CB7745" w:rsidRDefault="00CB7745">
      <w:pPr>
        <w:pStyle w:val="NormalWeb"/>
        <w:jc w:val="right"/>
        <w:rPr>
          <w:rFonts w:ascii="Arial" w:hAnsi="Arial" w:cs="Arial"/>
          <w:color w:val="555555"/>
          <w:sz w:val="21"/>
          <w:szCs w:val="21"/>
        </w:rPr>
      </w:pPr>
      <w:r>
        <w:rPr>
          <w:rFonts w:ascii="Arial" w:hAnsi="Arial" w:cs="Arial"/>
          <w:color w:val="555555"/>
          <w:sz w:val="21"/>
          <w:szCs w:val="21"/>
        </w:rPr>
        <w:t>Alexander von Humboldt Foundation – Feodor Lynen Research Fellowship for Postdoctoral Researchers</w:t>
      </w:r>
    </w:p>
    <w:p w14:paraId="1E09F487" w14:textId="77777777" w:rsidR="00CB7745" w:rsidRDefault="00CB7745">
      <w:pPr>
        <w:pStyle w:val="NormalWeb"/>
        <w:rPr>
          <w:rFonts w:ascii="Arial" w:hAnsi="Arial" w:cs="Arial"/>
          <w:sz w:val="21"/>
          <w:szCs w:val="21"/>
        </w:rPr>
      </w:pPr>
      <w:r>
        <w:rPr>
          <w:rFonts w:ascii="Arial" w:hAnsi="Arial" w:cs="Arial"/>
          <w:sz w:val="21"/>
          <w:szCs w:val="21"/>
        </w:rPr>
        <w:t> </w:t>
      </w:r>
    </w:p>
    <w:p w14:paraId="7EF6AD31" w14:textId="77777777" w:rsidR="00CB7745" w:rsidRDefault="00CB7745">
      <w:pPr>
        <w:pStyle w:val="NormalWeb"/>
        <w:rPr>
          <w:rFonts w:ascii="Arial" w:hAnsi="Arial" w:cs="Arial"/>
          <w:sz w:val="21"/>
          <w:szCs w:val="21"/>
        </w:rPr>
      </w:pPr>
      <w:r>
        <w:rPr>
          <w:rFonts w:ascii="Arial" w:hAnsi="Arial" w:cs="Arial"/>
          <w:sz w:val="21"/>
          <w:szCs w:val="21"/>
        </w:rPr>
        <w:t> </w:t>
      </w:r>
    </w:p>
    <w:p w14:paraId="585F1BF2" w14:textId="77777777" w:rsidR="00CB7745" w:rsidRDefault="00CB7745">
      <w:pPr>
        <w:pStyle w:val="NormalWeb"/>
        <w:rPr>
          <w:rFonts w:ascii="Arial" w:hAnsi="Arial" w:cs="Arial"/>
          <w:sz w:val="21"/>
          <w:szCs w:val="21"/>
        </w:rPr>
      </w:pPr>
      <w:r>
        <w:rPr>
          <w:rFonts w:ascii="Arial" w:hAnsi="Arial" w:cs="Arial"/>
          <w:sz w:val="21"/>
          <w:szCs w:val="21"/>
        </w:rPr>
        <w:t> </w:t>
      </w:r>
    </w:p>
    <w:p w14:paraId="53C00986" w14:textId="77777777" w:rsidR="00CB7745" w:rsidRDefault="00CB7745">
      <w:pPr>
        <w:pStyle w:val="center"/>
        <w:spacing w:before="0" w:beforeAutospacing="0" w:after="140"/>
        <w:rPr>
          <w:rFonts w:ascii="Arial" w:hAnsi="Arial" w:cs="Arial"/>
          <w:sz w:val="30"/>
          <w:szCs w:val="30"/>
        </w:rPr>
      </w:pPr>
      <w:r>
        <w:rPr>
          <w:rFonts w:ascii="Arial" w:hAnsi="Arial" w:cs="Arial"/>
          <w:b/>
          <w:bCs/>
          <w:sz w:val="30"/>
          <w:szCs w:val="30"/>
        </w:rPr>
        <w:t>Application for a Feodor Lynen Research Fellowship</w:t>
      </w:r>
    </w:p>
    <w:p w14:paraId="093A4821" w14:textId="77777777" w:rsidR="00CB7745" w:rsidRDefault="00CB7745">
      <w:pPr>
        <w:pStyle w:val="NormalWeb"/>
        <w:rPr>
          <w:rFonts w:ascii="Arial" w:hAnsi="Arial" w:cs="Arial"/>
          <w:sz w:val="21"/>
          <w:szCs w:val="21"/>
        </w:rPr>
      </w:pPr>
      <w:r>
        <w:rPr>
          <w:rFonts w:ascii="Arial" w:hAnsi="Arial" w:cs="Arial"/>
          <w:sz w:val="21"/>
          <w:szCs w:val="21"/>
        </w:rPr>
        <w:t> </w:t>
      </w:r>
    </w:p>
    <w:p w14:paraId="1BEDC36D" w14:textId="77777777" w:rsidR="00CB7745" w:rsidRDefault="00CB7745">
      <w:pPr>
        <w:pStyle w:val="center"/>
        <w:spacing w:before="0" w:beforeAutospacing="0" w:after="140"/>
        <w:rPr>
          <w:rFonts w:ascii="Arial" w:hAnsi="Arial" w:cs="Arial"/>
          <w:sz w:val="26"/>
          <w:szCs w:val="26"/>
        </w:rPr>
      </w:pPr>
      <w:r>
        <w:rPr>
          <w:rFonts w:ascii="Arial" w:hAnsi="Arial" w:cs="Arial"/>
          <w:b/>
          <w:bCs/>
          <w:sz w:val="26"/>
          <w:szCs w:val="26"/>
        </w:rPr>
        <w:t>Covalency Descriptors for Interstitial-Oxygen Memristive Switching: La</w:t>
      </w:r>
      <w:r>
        <w:rPr>
          <w:rFonts w:ascii="Arial" w:hAnsi="Arial" w:cs="Arial"/>
          <w:b/>
          <w:bCs/>
          <w:sz w:val="26"/>
          <w:szCs w:val="26"/>
          <w:vertAlign w:val="subscript"/>
        </w:rPr>
        <w:t>2</w:t>
      </w:r>
      <w:r>
        <w:rPr>
          <w:rFonts w:ascii="Arial" w:hAnsi="Arial" w:cs="Arial"/>
          <w:b/>
          <w:bCs/>
          <w:sz w:val="26"/>
          <w:szCs w:val="26"/>
        </w:rPr>
        <w:t>NiO</w:t>
      </w:r>
      <w:r>
        <w:rPr>
          <w:rFonts w:ascii="Arial" w:hAnsi="Arial" w:cs="Arial"/>
          <w:b/>
          <w:bCs/>
          <w:sz w:val="26"/>
          <w:szCs w:val="26"/>
          <w:vertAlign w:val="subscript"/>
        </w:rPr>
        <w:t>4+δ</w:t>
      </w:r>
      <w:r>
        <w:rPr>
          <w:rFonts w:ascii="Arial" w:hAnsi="Arial" w:cs="Arial"/>
          <w:b/>
          <w:bCs/>
          <w:sz w:val="26"/>
          <w:szCs w:val="26"/>
        </w:rPr>
        <w:t xml:space="preserve"> and La</w:t>
      </w:r>
      <w:r>
        <w:rPr>
          <w:rFonts w:ascii="Arial" w:hAnsi="Arial" w:cs="Arial"/>
          <w:b/>
          <w:bCs/>
          <w:sz w:val="26"/>
          <w:szCs w:val="26"/>
          <w:vertAlign w:val="subscript"/>
        </w:rPr>
        <w:t>2-x</w:t>
      </w:r>
      <w:r>
        <w:rPr>
          <w:rFonts w:ascii="Arial" w:hAnsi="Arial" w:cs="Arial"/>
          <w:b/>
          <w:bCs/>
          <w:sz w:val="26"/>
          <w:szCs w:val="26"/>
        </w:rPr>
        <w:t>Sr</w:t>
      </w:r>
      <w:r>
        <w:rPr>
          <w:rFonts w:ascii="Arial" w:hAnsi="Arial" w:cs="Arial"/>
          <w:b/>
          <w:bCs/>
          <w:sz w:val="26"/>
          <w:szCs w:val="26"/>
          <w:vertAlign w:val="subscript"/>
        </w:rPr>
        <w:t>x</w:t>
      </w:r>
      <w:r>
        <w:rPr>
          <w:rFonts w:ascii="Arial" w:hAnsi="Arial" w:cs="Arial"/>
          <w:b/>
          <w:bCs/>
          <w:sz w:val="26"/>
          <w:szCs w:val="26"/>
        </w:rPr>
        <w:t>NiO</w:t>
      </w:r>
      <w:r>
        <w:rPr>
          <w:rFonts w:ascii="Arial" w:hAnsi="Arial" w:cs="Arial"/>
          <w:b/>
          <w:bCs/>
          <w:sz w:val="26"/>
          <w:szCs w:val="26"/>
          <w:vertAlign w:val="subscript"/>
        </w:rPr>
        <w:t>4</w:t>
      </w:r>
    </w:p>
    <w:p w14:paraId="0B6EF13C" w14:textId="77777777" w:rsidR="00CB7745" w:rsidRDefault="00CB7745">
      <w:pPr>
        <w:pStyle w:val="NormalWeb"/>
        <w:rPr>
          <w:rFonts w:ascii="Arial" w:hAnsi="Arial" w:cs="Arial"/>
          <w:sz w:val="21"/>
          <w:szCs w:val="21"/>
        </w:rPr>
      </w:pPr>
      <w:r>
        <w:rPr>
          <w:rFonts w:ascii="Arial" w:hAnsi="Arial" w:cs="Arial"/>
          <w:sz w:val="21"/>
          <w:szCs w:val="21"/>
        </w:rPr>
        <w:t> </w:t>
      </w:r>
    </w:p>
    <w:p w14:paraId="3A294CF6" w14:textId="77777777" w:rsidR="00CB7745" w:rsidRDefault="00CB7745">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53C18AB5"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7A3BC1"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533268"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Dr. Max Buczek, Postdoctoral Researcher, Peter Grünberg Institute (PGI-7), Forschungszentrum Jülich, Germany</w:t>
            </w:r>
          </w:p>
        </w:tc>
      </w:tr>
      <w:tr w:rsidR="00000000" w14:paraId="3AB41B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F3342B"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Host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253D7A"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 xml:space="preserve">Prof. Dr. William C. Chueh, Department of Materials Science and Engineering, Stanford University, USA – Friedrich Wilhelm Bessel Research Award winner of the AvH Foundation (2021), member of the Humboldt Network</w:t>
            </w:r>
          </w:p>
        </w:tc>
      </w:tr>
      <w:tr w:rsidR="00000000" w14:paraId="7D05DA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8A4814"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FBEED3"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Stanford University / SLAC National Accelerator Laboratory (Stanford Synchrotron Radiation Lightsource, SSRL)</w:t>
            </w:r>
          </w:p>
        </w:tc>
      </w:tr>
      <w:tr w:rsidR="00000000" w14:paraId="5F18AC9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8A6CC0"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7AE7BB"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24 months, starting [e.g. Q2/2027; fellowship must begin 2–12 months after the selection meeting]</w:t>
            </w:r>
          </w:p>
        </w:tc>
      </w:tr>
      <w:tr w:rsidR="00000000" w14:paraId="48239F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A173B8"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Programme 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E13E65"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Postdoctoral researchers (doctorate 2026, i.e. within the four-year window)</w:t>
            </w:r>
          </w:p>
        </w:tc>
      </w:tr>
      <w:tr w:rsidR="00000000" w14:paraId="7933375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47AA5" w14:textId="77777777" w:rsidR="00CB7745" w:rsidRDefault="00CB7745">
            <w:pPr>
              <w:spacing w:before="120" w:after="200"/>
              <w:rPr>
                <w:rFonts w:ascii="Arial" w:eastAsia="Times New Roman" w:hAnsi="Arial" w:cs="Arial"/>
                <w:sz w:val="19"/>
                <w:szCs w:val="19"/>
              </w:rPr>
            </w:pPr>
            <w:r>
              <w:rPr>
                <w:rFonts w:ascii="Arial" w:eastAsia="Times New Roman" w:hAnsi="Arial" w:cs="Arial"/>
                <w:b/>
                <w:bCs/>
                <w:sz w:val="19"/>
                <w:szCs w:val="19"/>
              </w:rPr>
              <w:t>Targeted selection round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D1C304"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[February/June/October; submission recommended 4–7 months in advance]</w:t>
            </w:r>
          </w:p>
        </w:tc>
      </w:tr>
    </w:tbl>
    <w:p w14:paraId="3CDEB1A3" w14:textId="77777777" w:rsidR="00CB7745" w:rsidRDefault="00CB7745">
      <w:pPr>
        <w:pStyle w:val="NormalWeb"/>
        <w:rPr>
          <w:rFonts w:ascii="Arial" w:hAnsi="Arial" w:cs="Arial"/>
          <w:sz w:val="21"/>
          <w:szCs w:val="21"/>
        </w:rPr>
      </w:pPr>
      <w:r>
        <w:rPr>
          <w:rFonts w:ascii="Arial" w:hAnsi="Arial" w:cs="Arial"/>
          <w:sz w:val="21"/>
          <w:szCs w:val="21"/>
        </w:rPr>
        <w:t> </w:t>
      </w:r>
    </w:p>
    <w:p w14:paraId="46519A7F" w14:textId="77777777" w:rsidR="00CB7745" w:rsidRDefault="00CB7745">
      <w:pPr>
        <w:pStyle w:val="muted"/>
        <w:spacing w:before="0" w:beforeAutospacing="0" w:after="140"/>
        <w:rPr>
          <w:rFonts w:ascii="Arial" w:hAnsi="Arial" w:cs="Arial"/>
        </w:rPr>
      </w:pPr>
      <w:r>
        <w:rPr>
          <w:rFonts w:ascii="Arial" w:hAnsi="Arial" w:cs="Arial"/>
        </w:rPr>
        <w:t>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w:t>
      </w:r>
    </w:p>
    <w:p w14:paraId="43A0E3A3" w14:textId="77777777" w:rsidR="00CB7745" w:rsidRDefault="00CB7745">
      <w:pPr>
        <w:pStyle w:val="Heading1"/>
        <w:pageBreakBefore/>
        <w:rPr>
          <w:rFonts w:ascii="Arial" w:eastAsia="Times New Roman" w:hAnsi="Arial" w:cs="Arial"/>
        </w:rPr>
      </w:pPr>
      <w:r>
        <w:rPr>
          <w:rFonts w:ascii="Arial" w:eastAsia="Times New Roman" w:hAnsi="Arial" w:cs="Arial"/>
        </w:rPr>
        <w:lastRenderedPageBreak/>
        <w:t>Research Proposal (Exposé)</w:t>
      </w:r>
    </w:p>
    <w:p w14:paraId="0E49B477" w14:textId="77777777" w:rsidR="00CB7745" w:rsidRDefault="00CB7745">
      <w:pPr>
        <w:pStyle w:val="Heading2"/>
        <w:rPr>
          <w:rFonts w:ascii="Arial" w:eastAsia="Times New Roman" w:hAnsi="Arial" w:cs="Arial"/>
        </w:rPr>
      </w:pPr>
      <w:r>
        <w:rPr>
          <w:rFonts w:ascii="Arial" w:eastAsia="Times New Roman" w:hAnsi="Arial" w:cs="Arial"/>
        </w:rPr>
        <w:t>1  Research question and scientific significance</w:t>
      </w:r>
    </w:p>
    <w:p w14:paraId="3C9D0150" w14:textId="77777777" w:rsidR="00CB7745" w:rsidRDefault="00CB7745">
      <w:pPr>
        <w:pStyle w:val="NormalWeb"/>
        <w:rPr>
          <w:rFonts w:ascii="Arial" w:hAnsi="Arial" w:cs="Arial"/>
          <w:sz w:val="21"/>
          <w:szCs w:val="21"/>
        </w:rPr>
      </w:pPr>
      <w:r>
        <w:rPr>
          <w:rFonts w:ascii="Arial" w:hAnsi="Arial" w:cs="Arial"/>
          <w:sz w:val="21"/>
          <w:szCs w:val="21"/>
        </w:rPr>
        <w:t>Memristive devices based on the valence change mechanism (VCM) switch their resistance through field-driven creation and migration of oxygen vacancies (V</w:t>
      </w:r>
      <w:r>
        <w:rPr>
          <w:rFonts w:ascii="Arial" w:hAnsi="Arial" w:cs="Arial"/>
          <w:sz w:val="21"/>
          <w:szCs w:val="21"/>
          <w:vertAlign w:val="subscript"/>
        </w:rPr>
        <w:t>O</w:t>
      </w:r>
      <w:r>
        <w:rPr>
          <w:rFonts w:ascii="Arial" w:hAnsi="Arial" w:cs="Arial"/>
          <w:sz w:val="21"/>
          <w:szCs w:val="21"/>
        </w:rPr>
        <w:t>) [1–3]. The oxygen-vacancy formation energy (E</w:t>
      </w:r>
      <w:r>
        <w:rPr>
          <w:rFonts w:ascii="Arial" w:hAnsi="Arial" w:cs="Arial"/>
          <w:sz w:val="21"/>
          <w:szCs w:val="21"/>
          <w:vertAlign w:val="subscript"/>
        </w:rPr>
        <w:t>V</w:t>
      </w:r>
      <w:r>
        <w:rPr>
          <w:rFonts w:ascii="Arial" w:hAnsi="Arial" w:cs="Arial"/>
          <w:sz w:val="21"/>
          <w:szCs w:val="21"/>
        </w:rPr>
        <w:t>) enters all quantitative switching models exponentially [3, 4] – and yet it has never been measured systematically how E</w:t>
      </w:r>
      <w:r>
        <w:rPr>
          <w:rFonts w:ascii="Arial" w:hAnsi="Arial" w:cs="Arial"/>
          <w:sz w:val="21"/>
          <w:szCs w:val="21"/>
          <w:vertAlign w:val="subscript"/>
        </w:rPr>
        <w:t>V</w:t>
      </w:r>
      <w:r>
        <w:rPr>
          <w:rFonts w:ascii="Arial" w:hAnsi="Arial" w:cs="Arial"/>
          <w:sz w:val="21"/>
          <w:szCs w:val="21"/>
        </w:rPr>
        <w:t xml:space="preserve"> determines the central figures of merit (ON/OFF ratio, forming voltage, retention). Energy research, by contrast, has quantitatively established that E</w:t>
      </w:r>
      <w:r>
        <w:rPr>
          <w:rFonts w:ascii="Arial" w:hAnsi="Arial" w:cs="Arial"/>
          <w:sz w:val="21"/>
          <w:szCs w:val="21"/>
          <w:vertAlign w:val="subscript"/>
        </w:rPr>
        <w:t>V</w:t>
      </w:r>
      <w:r>
        <w:rPr>
          <w:rFonts w:ascii="Arial" w:hAnsi="Arial" w:cs="Arial"/>
          <w:sz w:val="21"/>
          <w:szCs w:val="21"/>
        </w:rPr>
        <w:t xml:space="preserve"> in perovskites is controlled by the metal–oxygen covalency: the O-2p band centre scales linearly with E</w:t>
      </w:r>
      <w:r>
        <w:rPr>
          <w:rFonts w:ascii="Arial" w:hAnsi="Arial" w:cs="Arial"/>
          <w:sz w:val="21"/>
          <w:szCs w:val="21"/>
          <w:vertAlign w:val="subscript"/>
        </w:rPr>
        <w:t>V</w:t>
      </w:r>
      <w:r>
        <w:rPr>
          <w:rFonts w:ascii="Arial" w:hAnsi="Arial" w:cs="Arial"/>
          <w:sz w:val="21"/>
          <w:szCs w:val="21"/>
        </w:rPr>
        <w:t xml:space="preserve"> and serves as a descriptor for catalysis and oxygen transport [5–8]. My project connects these two worlds experimentally for the first time – using the Ruddlesden–Popper nickelate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the one oxide family whose oxygen reservoir lies </w:t>
      </w:r>
      <w:r>
        <w:rPr>
          <w:rFonts w:ascii="Arial" w:hAnsi="Arial" w:cs="Arial"/>
          <w:i/>
          <w:iCs/>
          <w:sz w:val="21"/>
          <w:szCs w:val="21"/>
        </w:rPr>
        <w:t>inside</w:t>
      </w:r>
      <w:r>
        <w:rPr>
          <w:rFonts w:ascii="Arial" w:hAnsi="Arial" w:cs="Arial"/>
          <w:sz w:val="21"/>
          <w:szCs w:val="21"/>
        </w:rPr>
        <w:t xml:space="preserve"> the material by construction, in the form of mobile interstitial oxygen.</w:t>
      </w:r>
    </w:p>
    <w:p w14:paraId="6E4829DC" w14:textId="77777777" w:rsidR="00CB7745" w:rsidRDefault="00CB7745">
      <w:pPr>
        <w:pStyle w:val="NormalWeb"/>
        <w:rPr>
          <w:rFonts w:ascii="Arial" w:hAnsi="Arial" w:cs="Arial"/>
          <w:sz w:val="21"/>
          <w:szCs w:val="21"/>
        </w:rPr>
      </w:pPr>
      <w:r>
        <w:rPr>
          <w:rFonts w:ascii="Arial" w:hAnsi="Arial" w:cs="Arial"/>
          <w:sz w:val="21"/>
          <w:szCs w:val="21"/>
        </w:rPr>
        <w:t>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offers a unique twist on the descriptor idea. </w:t>
      </w:r>
      <w:r>
        <w:rPr>
          <w:rFonts w:ascii="Arial" w:hAnsi="Arial" w:cs="Arial"/>
          <w:b/>
          <w:bCs/>
          <w:sz w:val="21"/>
          <w:szCs w:val="21"/>
        </w:rPr>
        <w:t>(i) Two independent composition knobs:</w:t>
      </w:r>
      <w:r>
        <w:rPr>
          <w:rFonts w:ascii="Arial" w:hAnsi="Arial" w:cs="Arial"/>
          <w:sz w:val="21"/>
          <w:szCs w:val="21"/>
        </w:rPr>
        <w:t xml:space="preserve"> the interstitial oxygen content δ and Sr substitution (La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both dope holes into the Ni–O planes. The electronic structure of the Sr series is canonical ligand-hole physics – polarisation-dependent O-1s X-ray absorption by Kuiper, Sawatzky and co-workers showed that the doped holes carry dominant O-2p character [9] – and δ is quantifiable spectroscopically [11], so both descriptor axes are measurable. </w:t>
      </w:r>
      <w:r>
        <w:rPr>
          <w:rFonts w:ascii="Arial" w:hAnsi="Arial" w:cs="Arial"/>
          <w:b/>
          <w:bCs/>
          <w:sz w:val="21"/>
          <w:szCs w:val="21"/>
        </w:rPr>
        <w:t>(ii) Switching is demonstrated, including a composition series:</w:t>
      </w:r>
      <w:r>
        <w:rPr>
          <w:rFonts w:ascii="Arial" w:hAnsi="Arial" w:cs="Arial"/>
          <w:sz w:val="21"/>
          <w:szCs w:val="21"/>
        </w:rPr>
        <w:t xml:space="preserve">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devices switch forming-free and analogue [10]; a δ-series showed that the oxygen content itself selects the switching mechanism – filamentary for oxygen-poor, interface-type for oxygen-rich films [11]; and operando XANES has proven the valence-change mechanism in the nickelate [12]. </w:t>
      </w:r>
      <w:r>
        <w:rPr>
          <w:rFonts w:ascii="Arial" w:hAnsi="Arial" w:cs="Arial"/>
          <w:b/>
          <w:bCs/>
          <w:sz w:val="21"/>
          <w:szCs w:val="21"/>
        </w:rPr>
        <w:t>(iii) The decisive open question – and the high-gain core of this project:</w:t>
      </w:r>
      <w:r>
        <w:rPr>
          <w:rFonts w:ascii="Arial" w:hAnsi="Arial" w:cs="Arial"/>
          <w:sz w:val="21"/>
          <w:szCs w:val="21"/>
        </w:rPr>
        <w:t xml:space="preserve"> all published forming-free analogue thin-film devices rely on a reactive TiN/TiN</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y</w:t>
      </w:r>
      <w:r>
        <w:rPr>
          <w:rFonts w:ascii="Arial" w:hAnsi="Arial" w:cs="Arial"/>
          <w:sz w:val="21"/>
          <w:szCs w:val="21"/>
        </w:rPr>
        <w:t xml:space="preserve"> interlayer as the oxygen sink – the analogue of the reactive-electrode dominance known from perovskite devices [17, 18]; switching under inert or graphene electrodes – genuinely </w:t>
      </w:r>
      <w:r>
        <w:rPr>
          <w:rFonts w:ascii="Arial" w:hAnsi="Arial" w:cs="Arial"/>
          <w:i/>
          <w:iCs/>
          <w:sz w:val="21"/>
          <w:szCs w:val="21"/>
        </w:rPr>
        <w:t>interstitial-internal</w:t>
      </w:r>
      <w:r>
        <w:rPr>
          <w:rFonts w:ascii="Arial" w:hAnsi="Arial" w:cs="Arial"/>
          <w:sz w:val="21"/>
          <w:szCs w:val="21"/>
        </w:rPr>
        <w:t xml:space="preserve"> switching – has never been demonstrated in this planar thin-film geometry (my systematic literature analysis; TiN-free memristance is so far reported only for all-oxide bilayer and single-crystal junction geometries). If the interstitial reservoir can absorb and release the switched oxygen internally,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becomes the first memristor whose oxygen balance is intrinsic </w:t>
      </w:r>
      <w:r>
        <w:rPr>
          <w:rFonts w:ascii="Arial" w:hAnsi="Arial" w:cs="Arial"/>
          <w:i/>
          <w:iCs/>
          <w:sz w:val="21"/>
          <w:szCs w:val="21"/>
        </w:rPr>
        <w:t>by construction</w:t>
      </w:r>
      <w:r>
        <w:rPr>
          <w:rFonts w:ascii="Arial" w:hAnsi="Arial" w:cs="Arial"/>
          <w:sz w:val="21"/>
          <w:szCs w:val="21"/>
        </w:rPr>
        <w:t>, with photoelectron-transparent, gas-tight graphene electrodes [13, 14] providing both the seal and the spectroscopic window. My central hypothesis: the switching figures of merit are set by the measurable descriptor pair (covalency, δ) of the nickelate itself, not by electrode chemistry. The risk is managed by a decision gate (month 12): if inert-electrode switching does not materialise, the established TiN geometry [10, 11] combined with spectroscopic isolation of the nickelate contribution [12] carries the descriptor study to completion – the correlation question remains answerable either way.</w:t>
      </w:r>
    </w:p>
    <w:p w14:paraId="617AC7EB" w14:textId="77777777" w:rsidR="00CB7745" w:rsidRDefault="00CB7745">
      <w:pPr>
        <w:pStyle w:val="Heading2"/>
        <w:rPr>
          <w:rFonts w:ascii="Arial" w:eastAsia="Times New Roman" w:hAnsi="Arial" w:cs="Arial"/>
        </w:rPr>
      </w:pPr>
      <w:r>
        <w:rPr>
          <w:rFonts w:ascii="Arial" w:eastAsia="Times New Roman" w:hAnsi="Arial" w:cs="Arial"/>
        </w:rPr>
        <w:t>2  Why the Chueh group at Stanford is the ideal place</w:t>
      </w:r>
    </w:p>
    <w:p w14:paraId="3E546AE6" w14:textId="77777777" w:rsidR="00CB7745" w:rsidRDefault="00CB7745">
      <w:pPr>
        <w:pStyle w:val="NormalWeb"/>
        <w:rPr>
          <w:rFonts w:ascii="Arial" w:hAnsi="Arial" w:cs="Arial"/>
          <w:sz w:val="21"/>
          <w:szCs w:val="21"/>
        </w:rPr>
      </w:pPr>
      <w:r>
        <w:rPr>
          <w:rFonts w:ascii="Arial" w:hAnsi="Arial" w:cs="Arial"/>
          <w:sz w:val="21"/>
          <w:szCs w:val="21"/>
        </w:rPr>
        <w:t>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[19–21]. The group’s seminal work on the redox activity of oxygen anions in oxygen-deficient perovskites [20] is a direct methodological blueprint for my project; the Nature Materials study on atomically defined LaNiO</w:t>
      </w:r>
      <w:r>
        <w:rPr>
          <w:rFonts w:ascii="Arial" w:hAnsi="Arial" w:cs="Arial"/>
          <w:sz w:val="21"/>
          <w:szCs w:val="21"/>
          <w:vertAlign w:val="subscript"/>
        </w:rPr>
        <w:t>3</w:t>
      </w:r>
      <w:r>
        <w:rPr>
          <w:rFonts w:ascii="Arial" w:hAnsi="Arial" w:cs="Arial"/>
          <w:sz w:val="21"/>
          <w:szCs w:val="21"/>
        </w:rPr>
        <w:t xml:space="preserve"> surfaces [21]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14:paraId="4795BBF1" w14:textId="77777777" w:rsidR="00CB7745" w:rsidRDefault="00CB7745">
      <w:pPr>
        <w:pStyle w:val="Heading2"/>
        <w:rPr>
          <w:rFonts w:ascii="Arial" w:eastAsia="Times New Roman" w:hAnsi="Arial" w:cs="Arial"/>
        </w:rPr>
      </w:pPr>
      <w:r>
        <w:rPr>
          <w:rFonts w:ascii="Arial" w:eastAsia="Times New Roman" w:hAnsi="Arial" w:cs="Arial"/>
        </w:rPr>
        <w:t>3  Work programme (24 months)</w:t>
      </w:r>
    </w:p>
    <w:p w14:paraId="5657E3D7" w14:textId="77777777" w:rsidR="00CB7745" w:rsidRDefault="00CB7745">
      <w:pPr>
        <w:pStyle w:val="Heading3"/>
        <w:rPr>
          <w:rFonts w:ascii="Arial" w:eastAsia="Times New Roman" w:hAnsi="Arial" w:cs="Arial"/>
        </w:rPr>
      </w:pPr>
      <w:r>
        <w:rPr>
          <w:rFonts w:ascii="Arial" w:eastAsia="Times New Roman" w:hAnsi="Arial" w:cs="Arial"/>
        </w:rPr>
        <w:t xml:space="preserve">WP1 – Synthesis and descriptor measurement (months 1–10)</w:t>
      </w:r>
    </w:p>
    <w:p w14:paraId="04CCA067" w14:textId="77777777" w:rsidR="00CB7745" w:rsidRDefault="00CB7745">
      <w:pPr>
        <w:pStyle w:val="NormalWeb"/>
        <w:rPr>
          <w:rFonts w:ascii="Arial" w:hAnsi="Arial" w:cs="Arial"/>
          <w:sz w:val="21"/>
          <w:szCs w:val="21"/>
        </w:rPr>
      </w:pPr>
      <w:r>
        <w:rPr>
          <w:rFonts w:ascii="Arial" w:hAnsi="Arial" w:cs="Arial"/>
          <w:sz w:val="21"/>
          <w:szCs w:val="21"/>
        </w:rPr>
        <w:t>PLD growth of epitaxial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films on SrTiO</w:t>
      </w:r>
      <w:r>
        <w:rPr>
          <w:rFonts w:ascii="Arial" w:hAnsi="Arial" w:cs="Arial"/>
          <w:sz w:val="21"/>
          <w:szCs w:val="21"/>
          <w:vertAlign w:val="subscript"/>
        </w:rPr>
        <w:t>3</w:t>
      </w:r>
      <w:r>
        <w:rPr>
          <w:rFonts w:ascii="Arial" w:hAnsi="Arial" w:cs="Arial"/>
          <w:sz w:val="21"/>
          <w:szCs w:val="21"/>
        </w:rPr>
        <w:t>/Nb:SrTiO</w:t>
      </w:r>
      <w:r>
        <w:rPr>
          <w:rFonts w:ascii="Arial" w:hAnsi="Arial" w:cs="Arial"/>
          <w:sz w:val="21"/>
          <w:szCs w:val="21"/>
          <w:vertAlign w:val="subscript"/>
        </w:rPr>
        <w:t>3</w:t>
      </w:r>
      <w:r>
        <w:rPr>
          <w:rFonts w:ascii="Arial" w:hAnsi="Arial" w:cs="Arial"/>
          <w:sz w:val="21"/>
          <w:szCs w:val="21"/>
        </w:rPr>
        <w:t>; δ-control via post-annealing protocols (Ar vs. O</w:t>
      </w:r>
      <w:r>
        <w:rPr>
          <w:rFonts w:ascii="Arial" w:hAnsi="Arial" w:cs="Arial"/>
          <w:sz w:val="21"/>
          <w:szCs w:val="21"/>
          <w:vertAlign w:val="subscript"/>
        </w:rPr>
        <w:t>2</w:t>
      </w:r>
      <w:r>
        <w:rPr>
          <w:rFonts w:ascii="Arial" w:hAnsi="Arial" w:cs="Arial"/>
          <w:sz w:val="21"/>
          <w:szCs w:val="21"/>
        </w:rPr>
        <w:t>), quantified spectroscopically following [11]; in addition a La</w:t>
      </w:r>
      <w:r>
        <w:rPr>
          <w:rFonts w:ascii="Arial" w:hAnsi="Arial" w:cs="Arial"/>
          <w:sz w:val="21"/>
          <w:szCs w:val="21"/>
          <w:vertAlign w:val="subscript"/>
        </w:rPr>
        <w:t>2-x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NiO</w:t>
      </w:r>
      <w:r>
        <w:rPr>
          <w:rFonts w:ascii="Arial" w:hAnsi="Arial" w:cs="Arial"/>
          <w:sz w:val="21"/>
          <w:szCs w:val="21"/>
          <w:vertAlign w:val="subscript"/>
        </w:rPr>
        <w:t>4</w:t>
      </w:r>
      <w:r>
        <w:rPr>
          <w:rFonts w:ascii="Arial" w:hAnsi="Arial" w:cs="Arial"/>
          <w:sz w:val="21"/>
          <w:szCs w:val="21"/>
        </w:rPr>
        <w:t xml:space="preserve"> series (x = 0–0.4) as the second descriptor axis; structural validation (XRD, AFM), stoichiometry (XPS). First XAS campaign at SSRL: Ni-L</w:t>
      </w:r>
      <w:r>
        <w:rPr>
          <w:rFonts w:ascii="Arial" w:hAnsi="Arial" w:cs="Arial"/>
          <w:sz w:val="21"/>
          <w:szCs w:val="21"/>
          <w:vertAlign w:val="subscript"/>
        </w:rPr>
        <w:t>2,3</w:t>
      </w:r>
      <w:r>
        <w:rPr>
          <w:rFonts w:ascii="Arial" w:hAnsi="Arial" w:cs="Arial"/>
          <w:sz w:val="21"/>
          <w:szCs w:val="21"/>
        </w:rPr>
        <w:t xml:space="preserve"> and O-K analysis following [9, 15, 16] for every (δ, x) point → experimental descriptor set (covalency, hole character, interstitial content). </w:t>
      </w:r>
      <w:r>
        <w:rPr>
          <w:rFonts w:ascii="Arial" w:hAnsi="Arial" w:cs="Arial"/>
          <w:i/>
          <w:iCs/>
          <w:sz w:val="21"/>
          <w:szCs w:val="21"/>
        </w:rPr>
        <w:t>Milestone M1 (month 10): validated sample matrix with complete descriptor set.</w:t>
      </w:r>
    </w:p>
    <w:p w14:paraId="3932351C" w14:textId="77777777" w:rsidR="00CB7745" w:rsidRDefault="00CB7745">
      <w:pPr>
        <w:pStyle w:val="Heading3"/>
        <w:rPr>
          <w:rFonts w:ascii="Arial" w:eastAsia="Times New Roman" w:hAnsi="Arial" w:cs="Arial"/>
        </w:rPr>
      </w:pPr>
      <w:r>
        <w:rPr>
          <w:rFonts w:ascii="Arial" w:eastAsia="Times New Roman" w:hAnsi="Arial" w:cs="Arial"/>
        </w:rPr>
        <w:t>WP2 – Devices: from the TiN benchmark to intrinsic switching (months 6–18)</w:t>
      </w:r>
    </w:p>
    <w:p w14:paraId="562C34A8" w14:textId="77777777" w:rsidR="00CB7745" w:rsidRDefault="00CB7745">
      <w:pPr>
        <w:pStyle w:val="NormalWeb"/>
        <w:rPr>
          <w:rFonts w:ascii="Arial" w:hAnsi="Arial" w:cs="Arial"/>
          <w:sz w:val="21"/>
          <w:szCs w:val="21"/>
        </w:rPr>
      </w:pPr>
      <w:r>
        <w:rPr>
          <w:rFonts w:ascii="Arial" w:hAnsi="Arial" w:cs="Arial"/>
          <w:sz w:val="21"/>
          <w:szCs w:val="21"/>
        </w:rPr>
        <w:t xml:space="preserve">Three electrode flavours, photolithographically processed with ≥ 30 nominally identical cells each: (i) the established TiN geometry as benchmark [10, 11]; (ii) inert Pt electrodes; (iii) graphene-sealed cells – gas-tight and photoelectron-transparent [13, 14] – testing whether the interstitial reservoir sustains switching without any reactive sink. </w:t>
      </w:r>
      <w:r>
        <w:rPr>
          <w:rFonts w:ascii="Arial" w:hAnsi="Arial" w:cs="Arial"/>
          <w:b/>
          <w:bCs/>
          <w:sz w:val="21"/>
          <w:szCs w:val="21"/>
        </w:rPr>
        <w:t>Decision gate (month 12):</w:t>
      </w:r>
      <w:r>
        <w:rPr>
          <w:rFonts w:ascii="Arial" w:hAnsi="Arial" w:cs="Arial"/>
          <w:sz w:val="21"/>
          <w:szCs w:val="21"/>
        </w:rPr>
        <w:t xml:space="preserve"> continue with the intrinsic geometries if switching is demonstrated, otherwise carry the descriptor correlation on the benchmark geometry with spectroscopic isolation of the nickelate contribution [12]. Quasistatic and pulsed characterisation under the statistics protocol established in my doctorate. </w:t>
      </w:r>
      <w:r>
        <w:rPr>
          <w:rFonts w:ascii="Arial" w:hAnsi="Arial" w:cs="Arial"/>
          <w:i/>
          <w:iCs/>
          <w:sz w:val="21"/>
          <w:szCs w:val="21"/>
        </w:rPr>
        <w:t>Milestone M2 (month 18): switching figures of merit across the (δ, x) matrix.</w:t>
      </w:r>
    </w:p>
    <w:p w14:paraId="78ED07CA" w14:textId="77777777" w:rsidR="00CB7745" w:rsidRDefault="00CB7745">
      <w:pPr>
        <w:pStyle w:val="Heading3"/>
        <w:rPr>
          <w:rFonts w:ascii="Arial" w:eastAsia="Times New Roman" w:hAnsi="Arial" w:cs="Arial"/>
        </w:rPr>
      </w:pPr>
      <w:r>
        <w:rPr>
          <w:rFonts w:ascii="Arial" w:eastAsia="Times New Roman" w:hAnsi="Arial" w:cs="Arial"/>
        </w:rPr>
        <w:t xml:space="preserve">WP3 – Correlation, operando validation and publication (months 16–24)</w:t>
      </w:r>
    </w:p>
    <w:p w14:paraId="3850CCC4" w14:textId="77777777" w:rsidR="00CB7745" w:rsidRDefault="00CB7745">
      <w:pPr>
        <w:pStyle w:val="NormalWeb"/>
        <w:rPr>
          <w:rFonts w:ascii="Arial" w:hAnsi="Arial" w:cs="Arial"/>
          <w:sz w:val="21"/>
          <w:szCs w:val="21"/>
        </w:rPr>
      </w:pPr>
      <w:r>
        <w:rPr>
          <w:rFonts w:ascii="Arial" w:hAnsi="Arial" w:cs="Arial"/>
          <w:sz w:val="21"/>
          <w:szCs w:val="21"/>
        </w:rPr>
        <w:t xml:space="preserve">Correlation analysis descriptors (covalency, δ) ↔ switching metrics, referenced against generic descriptor models [5–8]. Second SSRL campaign: XAS on switched cells (ex-situ before/after, operando through graphene if the intrinsic geometry succeeds) to verify oxygen redistribution within the nickelate. Publication of the first descriptor-resolved study of interstitial-oxygen memristive switching; dataset released following FAIR principles. </w:t>
      </w:r>
      <w:r>
        <w:rPr>
          <w:rFonts w:ascii="Arial" w:hAnsi="Arial" w:cs="Arial"/>
          <w:i/>
          <w:iCs/>
          <w:sz w:val="21"/>
          <w:szCs w:val="21"/>
        </w:rPr>
        <w:t>Milestone M3 (month 24): submitted publication(s), public dataset.</w:t>
      </w:r>
    </w:p>
    <w:p w14:paraId="0ECC42C3" w14:textId="77777777" w:rsidR="00CB7745" w:rsidRDefault="00CB7745">
      <w:pPr>
        <w:pStyle w:val="Heading2"/>
        <w:rPr>
          <w:rFonts w:ascii="Arial" w:eastAsia="Times New Roman" w:hAnsi="Arial" w:cs="Arial"/>
        </w:rPr>
      </w:pPr>
      <w:r>
        <w:rPr>
          <w:rFonts w:ascii="Arial" w:eastAsia="Times New Roman" w:hAnsi="Arial" w:cs="Arial"/>
        </w:rPr>
        <w:t>4  Timeline</w:t>
      </w:r>
    </w:p>
    <w:tbl>
      <w:tblPr>
        <w:tblW w:w="5000" w:type="pct"/>
        <w:tblCellMar>
          <w:top w:w="15" w:type="dxa"/>
          <w:left w:w="15" w:type="dxa"/>
          <w:bottom w:w="15" w:type="dxa"/>
          <w:right w:w="15" w:type="dxa"/>
        </w:tblCellMar>
        <w:tblLook w:val="04A0" w:firstRow="1" w:lastRow="0" w:firstColumn="1" w:lastColumn="0" w:noHBand="0" w:noVBand="1"/>
      </w:tblPr>
      <w:tblGrid>
        <w:gridCol w:w="3623"/>
        <w:gridCol w:w="680"/>
        <w:gridCol w:w="679"/>
        <w:gridCol w:w="679"/>
        <w:gridCol w:w="679"/>
        <w:gridCol w:w="679"/>
        <w:gridCol w:w="679"/>
        <w:gridCol w:w="679"/>
        <w:gridCol w:w="679"/>
      </w:tblGrid>
      <w:tr w:rsidR="00000000" w14:paraId="61C2C7D9" w14:textId="77777777">
        <w:tc>
          <w:tcPr>
            <w:tcW w:w="20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D29F839"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E248430"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Q1</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9F00B57"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Q2</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8EFE3A5"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Q3</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5FCFF05"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Q4</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5D020A2"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Q5</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C80BB12"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Q6</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19581AC"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Q7</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F9C7F0B"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Q8</w:t>
            </w:r>
          </w:p>
        </w:tc>
      </w:tr>
      <w:tr w:rsidR="00000000" w14:paraId="281083F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79BD9B"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WP1 Synthesis + XAS descriptors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6B9AC1"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1CC7D6"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2B41E5"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8BD047"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C1DE5A" w14:textId="77777777" w:rsidR="00CB7745" w:rsidRDefault="00CB7745">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7C0320"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90DA0F"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0A5FF9" w14:textId="77777777" w:rsidR="00CB7745" w:rsidRDefault="00CB7745">
            <w:pPr>
              <w:spacing w:before="120" w:after="200"/>
              <w:jc w:val="center"/>
              <w:rPr>
                <w:rFonts w:eastAsia="Times New Roman"/>
                <w:sz w:val="20"/>
                <w:szCs w:val="20"/>
              </w:rPr>
            </w:pPr>
          </w:p>
        </w:tc>
      </w:tr>
      <w:tr w:rsidR="00000000" w14:paraId="1AC7DA8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A255AC"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WP2 Devices + switching statistics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BD65E7" w14:textId="77777777" w:rsidR="00CB7745" w:rsidRDefault="00CB7745">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FB0E28"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5AFA0F"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37F016"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023F47"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4264FB"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28B106" w14:textId="77777777" w:rsidR="00CB7745" w:rsidRDefault="00CB7745">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1C03BB" w14:textId="77777777" w:rsidR="00CB7745" w:rsidRDefault="00CB7745">
            <w:pPr>
              <w:spacing w:before="120" w:after="200"/>
              <w:jc w:val="center"/>
              <w:rPr>
                <w:rFonts w:eastAsia="Times New Roman"/>
                <w:sz w:val="20"/>
                <w:szCs w:val="20"/>
              </w:rPr>
            </w:pPr>
          </w:p>
        </w:tc>
      </w:tr>
      <w:tr w:rsidR="00000000" w14:paraId="34121EA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172C5D"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WP3 Correlation + operando + publication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0D8B8F" w14:textId="77777777" w:rsidR="00CB7745" w:rsidRDefault="00CB7745">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AFA106"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C153E3"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BC2AFE"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CA321A" w14:textId="77777777" w:rsidR="00CB7745" w:rsidRDefault="00CB7745">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F11BDD"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C6B00D"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5C9022" w14:textId="77777777" w:rsidR="00CB7745" w:rsidRDefault="00CB7745">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362FA0C7" w14:textId="77777777" w:rsidR="00CB7745" w:rsidRDefault="00CB7745">
      <w:pPr>
        <w:pStyle w:val="Heading2"/>
        <w:rPr>
          <w:rFonts w:ascii="Arial" w:eastAsia="Times New Roman" w:hAnsi="Arial" w:cs="Arial"/>
        </w:rPr>
      </w:pPr>
      <w:r>
        <w:rPr>
          <w:rFonts w:ascii="Arial" w:eastAsia="Times New Roman" w:hAnsi="Arial" w:cs="Arial"/>
        </w:rPr>
        <w:t>5  Career perspective and return strategy</w:t>
      </w:r>
    </w:p>
    <w:p w14:paraId="5C37B92C" w14:textId="77777777" w:rsidR="00CB7745" w:rsidRDefault="00CB7745">
      <w:pPr>
        <w:pStyle w:val="NormalWeb"/>
        <w:rPr>
          <w:rFonts w:ascii="Arial" w:hAnsi="Arial" w:cs="Arial"/>
          <w:sz w:val="21"/>
          <w:szCs w:val="21"/>
        </w:rPr>
      </w:pPr>
      <w:r>
        <w:rPr>
          <w:rFonts w:ascii="Arial" w:hAnsi="Arial" w:cs="Arial"/>
          <w:sz w:val="21"/>
          <w:szCs w:val="21"/>
        </w:rP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(the descriptor-resolved La</w:t>
      </w:r>
      <w:r>
        <w:rPr>
          <w:rFonts w:ascii="Arial" w:hAnsi="Arial" w:cs="Arial"/>
          <w:sz w:val="21"/>
          <w:szCs w:val="21"/>
          <w:vertAlign w:val="subscript"/>
        </w:rPr>
        <w:t>2</w:t>
      </w:r>
      <w:r>
        <w:rPr>
          <w:rFonts w:ascii="Arial" w:hAnsi="Arial" w:cs="Arial"/>
          <w:sz w:val="21"/>
          <w:szCs w:val="21"/>
        </w:rPr>
        <w:t>NiO</w:t>
      </w:r>
      <w:r>
        <w:rPr>
          <w:rFonts w:ascii="Arial" w:hAnsi="Arial" w:cs="Arial"/>
          <w:sz w:val="21"/>
          <w:szCs w:val="21"/>
          <w:vertAlign w:val="subscript"/>
        </w:rPr>
        <w:t>4+δ</w:t>
      </w:r>
      <w:r>
        <w:rPr>
          <w:rFonts w:ascii="Arial" w:hAnsi="Arial" w:cs="Arial"/>
          <w:sz w:val="21"/>
          <w:szCs w:val="21"/>
        </w:rPr>
        <w:t xml:space="preserve"> dataset, and potentially the first intrinsically switching interstitial-oxygen memristor) for the larger programme of a “treasure map” of memristive oxides in analogy to the bonding-descriptor maps of Wuttig et al. [22]. The subsequent group programme then extends the methodology to the perovskite vacancy families (manganites, ferrites, cobaltites), placing interstitial- and vacancy-mediated switching on one common descriptor map.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14:paraId="60C7C6BE" w14:textId="77777777" w:rsidR="00CB7745" w:rsidRDefault="00CB7745">
      <w:pPr>
        <w:pStyle w:val="Heading2"/>
        <w:rPr>
          <w:rFonts w:ascii="Arial" w:eastAsia="Times New Roman" w:hAnsi="Arial" w:cs="Arial"/>
        </w:rPr>
      </w:pPr>
      <w:r>
        <w:rPr>
          <w:rFonts w:ascii="Arial" w:eastAsia="Times New Roman" w:hAnsi="Arial" w:cs="Arial"/>
        </w:rPr>
        <w:t>6  References</w:t>
      </w:r>
    </w:p>
    <w:p w14:paraId="6B20473B" w14:textId="77777777" w:rsidR="00CB7745" w:rsidRDefault="00CB7745">
      <w:pPr>
        <w:spacing w:after="60"/>
        <w:ind w:hanging="480"/>
        <w:divId w:val="2074693967"/>
        <w:rPr>
          <w:rFonts w:ascii="Arial" w:hAnsi="Arial" w:cs="Arial"/>
          <w:sz w:val="18"/>
          <w:szCs w:val="18"/>
        </w:rPr>
      </w:pPr>
      <w:r>
        <w:rPr>
          <w:rFonts w:ascii="Arial" w:hAnsi="Arial" w:cs="Arial"/>
          <w:sz w:val="18"/>
          <w:szCs w:val="18"/>
        </w:rPr>
        <w:t>[1] R. Waser, M. Aono, Nanoionics-based resistive switching memories. Nature Materials 6, 833–840 (2007).</w:t>
      </w:r>
    </w:p>
    <w:p w14:paraId="505984F7" w14:textId="77777777" w:rsidR="00CB7745" w:rsidRDefault="00CB7745">
      <w:pPr>
        <w:spacing w:after="60"/>
        <w:ind w:hanging="480"/>
        <w:divId w:val="2074693967"/>
        <w:rPr>
          <w:rFonts w:ascii="Arial" w:hAnsi="Arial" w:cs="Arial"/>
          <w:sz w:val="18"/>
          <w:szCs w:val="18"/>
        </w:rPr>
      </w:pPr>
      <w:r>
        <w:rPr>
          <w:rFonts w:ascii="Arial" w:hAnsi="Arial" w:cs="Arial"/>
          <w:sz w:val="18"/>
          <w:szCs w:val="18"/>
        </w:rPr>
        <w:t xml:space="preserve">[2] R. Waser, R. Dittmann, G. Staikov, K. Szot, Redox-Based Resistive Switching Memories – Nanoionic Mechanisms, Prospects, and Challenges. Advanced Materials 21, 2632–2663 (2009).</w:t>
      </w:r>
    </w:p>
    <w:p w14:paraId="154ECC2D" w14:textId="77777777" w:rsidR="00CB7745" w:rsidRDefault="00CB7745">
      <w:pPr>
        <w:spacing w:after="60"/>
        <w:ind w:hanging="480"/>
        <w:divId w:val="2074693967"/>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0AFBA907" w14:textId="77777777" w:rsidR="00CB7745" w:rsidRDefault="00CB7745">
      <w:pPr>
        <w:spacing w:after="60"/>
        <w:ind w:hanging="480"/>
        <w:divId w:val="2074693967"/>
        <w:rPr>
          <w:rFonts w:ascii="Arial" w:hAnsi="Arial" w:cs="Arial"/>
          <w:sz w:val="18"/>
          <w:szCs w:val="18"/>
        </w:rPr>
      </w:pPr>
      <w:r>
        <w:rPr>
          <w:rFonts w:ascii="Arial" w:hAnsi="Arial" w:cs="Arial"/>
          <w:sz w:val="18"/>
          <w:szCs w:val="18"/>
        </w:rPr>
        <w:t>[4] S. Menzel, M. Waters, A. Marchewka, U. Böttger, R. Dittmann, R. Waser, Origin of the Ultra-nonlinear Switching Kinetics in Oxide-Based Resistive Switches. Advanced Functional Materials 21, 4487–4492 (2011).</w:t>
      </w:r>
    </w:p>
    <w:p w14:paraId="73901A60" w14:textId="77777777" w:rsidR="00CB7745" w:rsidRDefault="00CB7745">
      <w:pPr>
        <w:spacing w:after="60"/>
        <w:ind w:hanging="480"/>
        <w:divId w:val="2074693967"/>
        <w:rPr>
          <w:rFonts w:ascii="Arial" w:hAnsi="Arial" w:cs="Arial"/>
          <w:sz w:val="18"/>
          <w:szCs w:val="18"/>
        </w:rPr>
      </w:pPr>
      <w:r>
        <w:rPr>
          <w:rFonts w:ascii="Arial" w:hAnsi="Arial" w:cs="Arial"/>
          <w:sz w:val="18"/>
          <w:szCs w:val="18"/>
        </w:rPr>
        <w:t>[5] Y.-L. Lee, J. Kleis, J. Rossmeisl, Y. Shao-Horn, D. Morgan, Prediction of solid oxide fuel cell cathode activity with first-principles descriptors. Energy &amp; Environmental Science 4, 3966–3970 (2011).</w:t>
      </w:r>
    </w:p>
    <w:p w14:paraId="7A50D4D9" w14:textId="77777777" w:rsidR="00CB7745" w:rsidRDefault="00CB7745">
      <w:pPr>
        <w:spacing w:after="60"/>
        <w:ind w:hanging="480"/>
        <w:divId w:val="2074693967"/>
        <w:rPr>
          <w:rFonts w:ascii="Arial" w:hAnsi="Arial" w:cs="Arial"/>
          <w:sz w:val="18"/>
          <w:szCs w:val="18"/>
        </w:rPr>
      </w:pPr>
      <w:r>
        <w:rPr>
          <w:rFonts w:ascii="Arial" w:hAnsi="Arial" w:cs="Arial"/>
          <w:sz w:val="18"/>
          <w:szCs w:val="18"/>
        </w:rPr>
        <w:t>[6] R. Jacobs, J. Hwang, Y. Shao-Horn, D. Morgan, Assessing Correlations of Perovskite Catalytic Performance with Electronic Structure Descriptors. Chemistry of Materials 31, 785–797 (2019).</w:t>
      </w:r>
    </w:p>
    <w:p w14:paraId="0A029254" w14:textId="77777777" w:rsidR="00CB7745" w:rsidRDefault="00CB7745">
      <w:pPr>
        <w:spacing w:after="60"/>
        <w:ind w:hanging="480"/>
        <w:divId w:val="2074693967"/>
        <w:rPr>
          <w:rFonts w:ascii="Arial" w:hAnsi="Arial" w:cs="Arial"/>
          <w:sz w:val="18"/>
          <w:szCs w:val="18"/>
        </w:rPr>
      </w:pPr>
      <w:r>
        <w:rPr>
          <w:rFonts w:ascii="Arial" w:hAnsi="Arial" w:cs="Arial"/>
          <w:sz w:val="18"/>
          <w:szCs w:val="18"/>
        </w:rPr>
        <w:t>[7] A. M. Deml, V. Stevanović, C. L. Muhich, C. B. Musgrave, R. O’Hayre, Oxide enthalpy of formation and band gap energy as accurate descriptors of oxygen vacancy formation energetics. Energy &amp; Environmental Science 7, 1996–2004 (2014).</w:t>
      </w:r>
    </w:p>
    <w:p w14:paraId="1FB45FFB" w14:textId="77777777" w:rsidR="00CB7745" w:rsidRDefault="00CB7745">
      <w:pPr>
        <w:spacing w:after="60"/>
        <w:ind w:hanging="480"/>
        <w:divId w:val="2074693967"/>
        <w:rPr>
          <w:rFonts w:ascii="Arial" w:hAnsi="Arial" w:cs="Arial"/>
          <w:sz w:val="18"/>
          <w:szCs w:val="18"/>
        </w:rPr>
      </w:pPr>
      <w:r>
        <w:rPr>
          <w:rFonts w:ascii="Arial" w:hAnsi="Arial" w:cs="Arial"/>
          <w:sz w:val="18"/>
          <w:szCs w:val="18"/>
        </w:rPr>
        <w:t>[8] R. B. Wexler, G. Sai Gautam, E. B. Stechel, E. A. Carter, Factors Governing Oxygen Vacancy Formation in Oxide Perovskites. Journal of the American Chemical Society 143, 13212–13227 (2021).</w:t>
      </w:r>
    </w:p>
    <w:p w14:paraId="65D2F440" w14:textId="77777777" w:rsidR="00CB7745" w:rsidRDefault="00CB7745">
      <w:pPr>
        <w:spacing w:after="60"/>
        <w:ind w:hanging="480"/>
        <w:divId w:val="2074693967"/>
        <w:rPr>
          <w:rFonts w:ascii="Arial" w:hAnsi="Arial" w:cs="Arial"/>
          <w:sz w:val="18"/>
          <w:szCs w:val="18"/>
        </w:rPr>
      </w:pPr>
      <w:r>
        <w:rPr>
          <w:rFonts w:ascii="Arial" w:hAnsi="Arial" w:cs="Arial"/>
          <w:sz w:val="18"/>
          <w:szCs w:val="18"/>
        </w:rPr>
        <w:t>[9] P. Kuiper, J. van Elp, G. A. Sawatzky et al., Unoccupied density of states of La</w:t>
      </w:r>
      <w:r>
        <w:rPr>
          <w:rFonts w:ascii="Arial" w:hAnsi="Arial" w:cs="Arial"/>
          <w:sz w:val="18"/>
          <w:szCs w:val="18"/>
          <w:vertAlign w:val="subscript"/>
        </w:rPr>
        <w:t>2-x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 xml:space="preserve"> studied by polarization-dependent x-ray-absorption spectroscopy and bremsstrahlung isochromat spectroscopy. Physical Review B 44, 4570–4575 (1991).</w:t>
      </w:r>
    </w:p>
    <w:p w14:paraId="68F133CF" w14:textId="77777777" w:rsidR="00CB7745" w:rsidRDefault="00CB7745">
      <w:pPr>
        <w:spacing w:after="60"/>
        <w:ind w:hanging="480"/>
        <w:divId w:val="2074693967"/>
        <w:rPr>
          <w:rFonts w:ascii="Arial" w:hAnsi="Arial" w:cs="Arial"/>
          <w:sz w:val="18"/>
          <w:szCs w:val="18"/>
        </w:rPr>
      </w:pPr>
      <w:r>
        <w:rPr>
          <w:rFonts w:ascii="Arial" w:hAnsi="Arial" w:cs="Arial"/>
          <w:sz w:val="18"/>
          <w:szCs w:val="18"/>
        </w:rPr>
        <w:t>[10] T.-K. Khuu et al.,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Integrated on Si-Based Substrates. Advanced Materials Technologies 7, 2200329 (2022).</w:t>
      </w:r>
    </w:p>
    <w:p w14:paraId="085D7002" w14:textId="77777777" w:rsidR="00CB7745" w:rsidRDefault="00CB7745">
      <w:pPr>
        <w:spacing w:after="60"/>
        <w:ind w:hanging="480"/>
        <w:divId w:val="2074693967"/>
        <w:rPr>
          <w:rFonts w:ascii="Arial" w:hAnsi="Arial" w:cs="Arial"/>
          <w:sz w:val="18"/>
          <w:szCs w:val="18"/>
        </w:rPr>
      </w:pPr>
      <w:r>
        <w:rPr>
          <w:rFonts w:ascii="Arial" w:hAnsi="Arial" w:cs="Arial"/>
          <w:sz w:val="18"/>
          <w:szCs w:val="18"/>
        </w:rPr>
        <w:t>[11] A. Koroleva et al., Impact of the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 xml:space="preserve"> Oxygen Content on the Synaptic Properties of the TiN/La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/Pt Memristive Devices. Advanced Electronic Materials 10, 2400096 (2024).</w:t>
      </w:r>
    </w:p>
    <w:p w14:paraId="039EAE1C" w14:textId="77777777" w:rsidR="00CB7745" w:rsidRDefault="00CB7745">
      <w:pPr>
        <w:spacing w:after="60"/>
        <w:ind w:hanging="480"/>
        <w:divId w:val="2074693967"/>
        <w:rPr>
          <w:rFonts w:ascii="Arial" w:hAnsi="Arial" w:cs="Arial"/>
          <w:sz w:val="18"/>
          <w:szCs w:val="18"/>
        </w:rPr>
      </w:pPr>
      <w:r>
        <w:rPr>
          <w:rFonts w:ascii="Arial" w:hAnsi="Arial" w:cs="Arial"/>
          <w:sz w:val="18"/>
          <w:szCs w:val="18"/>
        </w:rPr>
        <w:t>[12] T.-K. Khuu, A. Koroleva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798A102E" w14:textId="77777777" w:rsidR="00CB7745" w:rsidRDefault="00CB7745">
      <w:pPr>
        <w:spacing w:after="60"/>
        <w:ind w:hanging="480"/>
        <w:divId w:val="2074693967"/>
        <w:rPr>
          <w:rFonts w:ascii="Arial" w:hAnsi="Arial" w:cs="Arial"/>
          <w:sz w:val="18"/>
          <w:szCs w:val="18"/>
        </w:rPr>
      </w:pPr>
      <w:r>
        <w:rPr>
          <w:rFonts w:ascii="Arial" w:hAnsi="Arial" w:cs="Arial"/>
          <w:sz w:val="18"/>
          <w:szCs w:val="18"/>
        </w:rPr>
        <w:t>[13] C. Baeumer et al., Quantifying redox-induced Schottky barrier variations in memristive devices via in operando spectromicroscopy with graphene electrodes. Nature Communications 7, 12398 (2016).</w:t>
      </w:r>
    </w:p>
    <w:p w14:paraId="409BB4C4" w14:textId="77777777" w:rsidR="00CB7745" w:rsidRDefault="00CB7745">
      <w:pPr>
        <w:spacing w:after="60"/>
        <w:ind w:hanging="480"/>
        <w:divId w:val="2074693967"/>
        <w:rPr>
          <w:rFonts w:ascii="Arial" w:hAnsi="Arial" w:cs="Arial"/>
          <w:sz w:val="18"/>
          <w:szCs w:val="18"/>
        </w:rPr>
      </w:pPr>
      <w:r>
        <w:rPr>
          <w:rFonts w:ascii="Arial" w:hAnsi="Arial" w:cs="Arial"/>
          <w:sz w:val="18"/>
          <w:szCs w:val="18"/>
        </w:rPr>
        <w:t>[14] H. Tian et al., Monitoring Oxygen Movement by Raman Spectroscopy of Resistive Random Access Memory with a Graphene-Inserted Electrode. Nano Letters 13, 651–657 (2013).</w:t>
      </w:r>
    </w:p>
    <w:p w14:paraId="30728704" w14:textId="77777777" w:rsidR="00CB7745" w:rsidRDefault="00CB7745">
      <w:pPr>
        <w:spacing w:after="60"/>
        <w:ind w:hanging="480"/>
        <w:divId w:val="2074693967"/>
        <w:rPr>
          <w:rFonts w:ascii="Arial" w:hAnsi="Arial" w:cs="Arial"/>
          <w:sz w:val="18"/>
          <w:szCs w:val="18"/>
        </w:rPr>
      </w:pPr>
      <w:r>
        <w:rPr>
          <w:rFonts w:ascii="Arial" w:hAnsi="Arial" w:cs="Arial"/>
          <w:sz w:val="18"/>
          <w:szCs w:val="18"/>
        </w:rPr>
        <w:t>[15] J. Suntivich et al., Estimating Hybridization of Transition Metal and Oxygen States in Perovskites from O K-edge X-ray Absorption Spectroscopy. Journal of Physical Chemistry C 118, 1856–1863 (2014).</w:t>
      </w:r>
    </w:p>
    <w:p w14:paraId="34B266B1" w14:textId="77777777" w:rsidR="00CB7745" w:rsidRDefault="00CB7745">
      <w:pPr>
        <w:spacing w:after="60"/>
        <w:ind w:hanging="480"/>
        <w:divId w:val="2074693967"/>
        <w:rPr>
          <w:rFonts w:ascii="Arial" w:hAnsi="Arial" w:cs="Arial"/>
          <w:sz w:val="18"/>
          <w:szCs w:val="18"/>
        </w:rPr>
      </w:pPr>
      <w:r>
        <w:rPr>
          <w:rFonts w:ascii="Arial" w:hAnsi="Arial" w:cs="Arial"/>
          <w:sz w:val="18"/>
          <w:szCs w:val="18"/>
        </w:rPr>
        <w:t>[16] F. Frati, M. O. J. Y. Hunault, F. M. F. de Groot, Oxygen K-edge X-ray Absorption Spectra. Chemical Reviews 120, 4056–4110 (2020).</w:t>
      </w:r>
    </w:p>
    <w:p w14:paraId="3B1A5DA8" w14:textId="77777777" w:rsidR="00CB7745" w:rsidRDefault="00CB7745">
      <w:pPr>
        <w:spacing w:after="60"/>
        <w:ind w:hanging="480"/>
        <w:divId w:val="2074693967"/>
        <w:rPr>
          <w:rFonts w:ascii="Arial" w:hAnsi="Arial" w:cs="Arial"/>
          <w:sz w:val="18"/>
          <w:szCs w:val="18"/>
        </w:rPr>
      </w:pPr>
      <w:r>
        <w:rPr>
          <w:rFonts w:ascii="Arial" w:hAnsi="Arial" w:cs="Arial"/>
          <w:sz w:val="18"/>
          <w:szCs w:val="18"/>
        </w:rPr>
        <w:t>[17]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7D87C933" w14:textId="77777777" w:rsidR="00CB7745" w:rsidRDefault="00CB7745">
      <w:pPr>
        <w:spacing w:after="60"/>
        <w:ind w:hanging="480"/>
        <w:divId w:val="2074693967"/>
        <w:rPr>
          <w:rFonts w:ascii="Arial" w:hAnsi="Arial" w:cs="Arial"/>
          <w:sz w:val="18"/>
          <w:szCs w:val="18"/>
        </w:rPr>
      </w:pPr>
      <w:r>
        <w:rPr>
          <w:rFonts w:ascii="Arial" w:hAnsi="Arial" w:cs="Arial"/>
          <w:sz w:val="18"/>
          <w:szCs w:val="18"/>
        </w:rPr>
        <w:t>[18] A. Herpers, C. Lenser, C. Park, F. Offi, F. Borgatti, G. Panaccione, S. Menzel, R. Waser, R. Dittmann, Spectroscopic proof of the correlation between redox-state and charge-carrier transport at the interface of resistively switching Ti/PCMO devices. Advanced Materials 26, 2730–2735 (2014).</w:t>
      </w:r>
    </w:p>
    <w:p w14:paraId="5D3E9B31" w14:textId="77777777" w:rsidR="00CB7745" w:rsidRDefault="00CB7745">
      <w:pPr>
        <w:spacing w:after="60"/>
        <w:ind w:hanging="480"/>
        <w:divId w:val="2074693967"/>
        <w:rPr>
          <w:rFonts w:ascii="Arial" w:hAnsi="Arial" w:cs="Arial"/>
          <w:sz w:val="18"/>
          <w:szCs w:val="18"/>
        </w:rPr>
      </w:pPr>
      <w:r>
        <w:rPr>
          <w:rFonts w:ascii="Arial" w:hAnsi="Arial" w:cs="Arial"/>
          <w:sz w:val="18"/>
          <w:szCs w:val="18"/>
        </w:rPr>
        <w:t>[19] W. C. Chueh, C. Falter, M. Abbott, D. Scipio, P. Furler, S. M. Haile, A. Steinfeld, High-Flux Solar-Driven Thermochemical Dissociation of CO</w:t>
      </w:r>
      <w:r>
        <w:rPr>
          <w:rFonts w:ascii="Arial" w:hAnsi="Arial" w:cs="Arial"/>
          <w:sz w:val="18"/>
          <w:szCs w:val="18"/>
          <w:vertAlign w:val="subscript"/>
        </w:rPr>
        <w:t>2</w:t>
      </w:r>
      <w:r>
        <w:rPr>
          <w:rFonts w:ascii="Arial" w:hAnsi="Arial" w:cs="Arial"/>
          <w:sz w:val="18"/>
          <w:szCs w:val="18"/>
        </w:rPr>
        <w:t xml:space="preserve"> and H</w:t>
      </w:r>
      <w:r>
        <w:rPr>
          <w:rFonts w:ascii="Arial" w:hAnsi="Arial" w:cs="Arial"/>
          <w:sz w:val="18"/>
          <w:szCs w:val="18"/>
          <w:vertAlign w:val="subscript"/>
        </w:rPr>
        <w:t>2</w:t>
      </w:r>
      <w:r>
        <w:rPr>
          <w:rFonts w:ascii="Arial" w:hAnsi="Arial" w:cs="Arial"/>
          <w:sz w:val="18"/>
          <w:szCs w:val="18"/>
        </w:rPr>
        <w:t>O Using Nonstoichiometric Ceria. Science 330, 1797–1801 (2010).</w:t>
      </w:r>
    </w:p>
    <w:p w14:paraId="45D495C5" w14:textId="77777777" w:rsidR="00CB7745" w:rsidRDefault="00CB7745">
      <w:pPr>
        <w:spacing w:after="60"/>
        <w:ind w:hanging="480"/>
        <w:divId w:val="2074693967"/>
        <w:rPr>
          <w:rFonts w:ascii="Arial" w:hAnsi="Arial" w:cs="Arial"/>
          <w:sz w:val="18"/>
          <w:szCs w:val="18"/>
        </w:rPr>
      </w:pPr>
      <w:r>
        <w:rPr>
          <w:rFonts w:ascii="Arial" w:hAnsi="Arial" w:cs="Arial"/>
          <w:sz w:val="18"/>
          <w:szCs w:val="18"/>
        </w:rPr>
        <w:t>[20] D. N. Mueller, M. L. Machala, H. Bluhm, W. C. Chueh, Redox activity of surface oxygen anions in oxygen-deficient perovskite oxides during electrochemical reactions. Nature Communications 6, 6097 (2015).</w:t>
      </w:r>
    </w:p>
    <w:p w14:paraId="078280C9" w14:textId="77777777" w:rsidR="00CB7745" w:rsidRDefault="00CB7745">
      <w:pPr>
        <w:spacing w:after="60"/>
        <w:ind w:hanging="480"/>
        <w:divId w:val="2074693967"/>
        <w:rPr>
          <w:rFonts w:ascii="Arial" w:hAnsi="Arial" w:cs="Arial"/>
          <w:sz w:val="18"/>
          <w:szCs w:val="18"/>
        </w:rPr>
      </w:pPr>
      <w:r>
        <w:rPr>
          <w:rFonts w:ascii="Arial" w:hAnsi="Arial" w:cs="Arial"/>
          <w:sz w:val="18"/>
          <w:szCs w:val="18"/>
        </w:rPr>
        <w:t>[21] C. Baeumer, J. Li, Q. Lu et al. (with W. C. Chueh), Tuning electrochemically driven surface transformation in atomically flat LaNiO</w:t>
      </w:r>
      <w:r>
        <w:rPr>
          <w:rFonts w:ascii="Arial" w:hAnsi="Arial" w:cs="Arial"/>
          <w:sz w:val="18"/>
          <w:szCs w:val="18"/>
          <w:vertAlign w:val="subscript"/>
        </w:rPr>
        <w:t>3</w:t>
      </w:r>
      <w:r>
        <w:rPr>
          <w:rFonts w:ascii="Arial" w:hAnsi="Arial" w:cs="Arial"/>
          <w:sz w:val="18"/>
          <w:szCs w:val="18"/>
        </w:rPr>
        <w:t xml:space="preserve"> thin films for enhanced water electrolysis. Nature Materials 20, 674–682 (2021).</w:t>
      </w:r>
    </w:p>
    <w:p w14:paraId="349346CF" w14:textId="77777777" w:rsidR="00CB7745" w:rsidRDefault="00CB7745">
      <w:pPr>
        <w:spacing w:after="60"/>
        <w:ind w:hanging="480"/>
        <w:divId w:val="2074693967"/>
        <w:rPr>
          <w:rFonts w:ascii="Arial" w:hAnsi="Arial" w:cs="Arial"/>
          <w:sz w:val="18"/>
          <w:szCs w:val="18"/>
        </w:rPr>
      </w:pPr>
      <w:r>
        <w:rPr>
          <w:rFonts w:ascii="Arial" w:hAnsi="Arial" w:cs="Arial"/>
          <w:sz w:val="18"/>
          <w:szCs w:val="18"/>
        </w:rPr>
        <w:t>[22] M. Wuttig et al., Revisiting the Nature of Chemical Bonding in Chalcogenides to Explain and Design their Properties. Advanced Materials 35, 2208485 (2023).</w:t>
      </w:r>
    </w:p>
    <w:p w14:paraId="111037FD" w14:textId="77777777" w:rsidR="00CB7745" w:rsidRDefault="00CB7745">
      <w:pPr>
        <w:spacing w:after="60"/>
        <w:ind w:hanging="480"/>
        <w:divId w:val="2074693967"/>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36408EA5" w14:textId="77777777" w:rsidR="00CB7745" w:rsidRDefault="00CB7745">
      <w:pPr>
        <w:spacing w:after="60"/>
        <w:ind w:hanging="480"/>
        <w:divId w:val="2074693967"/>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65AD3072" w14:textId="77777777" w:rsidR="00CB7745" w:rsidRDefault="00CB7745">
      <w:pPr>
        <w:spacing w:after="60"/>
        <w:ind w:hanging="480"/>
        <w:divId w:val="2074693967"/>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02883D2" w14:textId="77777777" w:rsidR="00CB7745" w:rsidRDefault="00CB7745">
      <w:pPr>
        <w:pStyle w:val="Heading1"/>
        <w:pageBreakBefore/>
        <w:rPr>
          <w:rFonts w:ascii="Arial" w:eastAsia="Times New Roman" w:hAnsi="Arial" w:cs="Arial"/>
        </w:rPr>
      </w:pPr>
      <w:r>
        <w:rPr>
          <w:rFonts w:ascii="Arial" w:eastAsia="Times New Roman" w:hAnsi="Arial" w:cs="Arial"/>
        </w:rPr>
        <w:t>Checklist of Further Application Documents (AvH online portal)</w:t>
      </w:r>
    </w:p>
    <w:tbl>
      <w:tblPr>
        <w:tblW w:w="5000" w:type="pct"/>
        <w:tblCellMar>
          <w:top w:w="15" w:type="dxa"/>
          <w:left w:w="15" w:type="dxa"/>
          <w:bottom w:w="15" w:type="dxa"/>
          <w:right w:w="15" w:type="dxa"/>
        </w:tblCellMar>
        <w:tblLook w:val="04A0" w:firstRow="1" w:lastRow="0" w:firstColumn="1" w:lastColumn="0" w:noHBand="0" w:noVBand="1"/>
      </w:tblPr>
      <w:tblGrid>
        <w:gridCol w:w="3804"/>
        <w:gridCol w:w="5252"/>
      </w:tblGrid>
      <w:tr w:rsidR="00000000" w14:paraId="796DC2E4" w14:textId="77777777">
        <w:tc>
          <w:tcPr>
            <w:tcW w:w="21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D55D32C"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Document</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10932E8E" w14:textId="77777777" w:rsidR="00CB7745" w:rsidRDefault="00CB7745">
            <w:pPr>
              <w:spacing w:before="120" w:after="200"/>
              <w:rPr>
                <w:rFonts w:ascii="Arial" w:eastAsia="Times New Roman" w:hAnsi="Arial" w:cs="Arial"/>
                <w:b/>
                <w:bCs/>
                <w:sz w:val="19"/>
                <w:szCs w:val="19"/>
              </w:rPr>
            </w:pPr>
            <w:r>
              <w:rPr>
                <w:rFonts w:ascii="Arial" w:eastAsia="Times New Roman" w:hAnsi="Arial" w:cs="Arial"/>
                <w:b/>
                <w:bCs/>
                <w:sz w:val="19"/>
                <w:szCs w:val="19"/>
              </w:rPr>
              <w:t>Status / note</w:t>
            </w:r>
          </w:p>
        </w:tc>
      </w:tr>
      <w:tr w:rsidR="00000000" w14:paraId="28C8C12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DAA5B5"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Curriculum vitae (max. 2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13D46B"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Condense from CV_Max_Buczek; focus: doctorate, methodological profile, publications, supervision</w:t>
            </w:r>
          </w:p>
        </w:tc>
      </w:tr>
      <w:tr w:rsidR="00000000" w14:paraId="1071F40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A79D96"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Research proposal (max. 5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554CDA"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 xml:space="preserve">This exposé – </w:t>
            </w:r>
            <w:r>
              <w:rPr>
                <w:rFonts w:ascii="Arial" w:eastAsia="Times New Roman" w:hAnsi="Arial" w:cs="Arial"/>
                <w:b/>
                <w:bCs/>
                <w:sz w:val="19"/>
                <w:szCs w:val="19"/>
              </w:rPr>
              <w:t>coordinate with Prof. Chueh before submission</w:t>
            </w:r>
            <w:r>
              <w:rPr>
                <w:rFonts w:ascii="Arial" w:eastAsia="Times New Roman" w:hAnsi="Arial" w:cs="Arial"/>
                <w:sz w:val="19"/>
                <w:szCs w:val="19"/>
              </w:rPr>
              <w:t xml:space="preserve"> (AvH requirement: independently developed, coordinated with the host)</w:t>
            </w:r>
          </w:p>
        </w:tc>
      </w:tr>
      <w:tr w:rsidR="00000000" w14:paraId="3A799E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AA95AA"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Complete list of publications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3C89A6"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Incl. conference contributions and patent application</w:t>
            </w:r>
          </w:p>
        </w:tc>
      </w:tr>
      <w:tr w:rsidR="00000000" w14:paraId="520BDF3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D2495A"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1–3 key publications with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54F370"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Recommendation: Chem. Rev. 2025 (command of the field, first author), Adv. Electron. Mater. 2026 (device innovation), Thin Solid Films 2024 (PLD methodology)</w:t>
            </w:r>
          </w:p>
        </w:tc>
      </w:tr>
      <w:tr w:rsidR="00000000" w14:paraId="45FC074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7E0390"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Doctoral certificate / proof</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5B7DF5"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If applying before completion: declaration that the dissertation will be submitted within 6 months</w:t>
            </w:r>
          </w:p>
        </w:tc>
      </w:tr>
      <w:tr w:rsidR="00000000" w14:paraId="473AC50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AF2E23"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Host’s statement + confirmation of research place (incl. mentoring agreement and co-funding commitment)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89F9A4"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Prof. Chueh uploads directly to the AvH portal; raise the host contribution (approx. 1/3 of the fellowship; USA is a contributing country) early</w:t>
            </w:r>
          </w:p>
        </w:tc>
      </w:tr>
      <w:tr w:rsidR="00000000" w14:paraId="508D70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A6273D"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Two expert reviews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3C2CBE" w14:textId="77777777" w:rsidR="00CB7745" w:rsidRDefault="00CB7745">
            <w:pPr>
              <w:spacing w:before="120" w:after="200"/>
              <w:rPr>
                <w:rFonts w:ascii="Arial" w:eastAsia="Times New Roman" w:hAnsi="Arial" w:cs="Arial"/>
                <w:sz w:val="19"/>
                <w:szCs w:val="19"/>
              </w:rPr>
            </w:pPr>
            <w:r>
              <w:rPr>
                <w:rFonts w:ascii="Arial" w:eastAsia="Times New Roman" w:hAnsi="Arial" w:cs="Arial"/>
                <w:sz w:val="19"/>
                <w:szCs w:val="19"/>
              </w:rPr>
              <w:t>Recommendation: Prof. R. Dittmann (doctoral supervisor) + one external, preferably international referee [e.g. from the NeuroSys consortium or the E-MRS environment]</w:t>
            </w:r>
          </w:p>
        </w:tc>
      </w:tr>
    </w:tbl>
    <w:p w14:paraId="5D166C68" w14:textId="77777777" w:rsidR="00CB7745" w:rsidRDefault="00CB7745">
      <w:pPr>
        <w:pStyle w:val="Heading2"/>
        <w:rPr>
          <w:rFonts w:ascii="Arial" w:eastAsia="Times New Roman" w:hAnsi="Arial" w:cs="Arial"/>
        </w:rPr>
      </w:pPr>
      <w:r>
        <w:rPr>
          <w:rFonts w:ascii="Arial" w:eastAsia="Times New Roman" w:hAnsi="Arial" w:cs="Arial"/>
        </w:rPr>
        <w:t>Fellowship benefits (for orientation, as of 2026)</w:t>
      </w:r>
    </w:p>
    <w:p w14:paraId="4049B2BD" w14:textId="77777777" w:rsidR="00CB7745" w:rsidRDefault="00CB7745">
      <w:pPr>
        <w:pStyle w:val="NormalWeb"/>
        <w:rPr>
          <w:rFonts w:ascii="Arial" w:hAnsi="Arial" w:cs="Arial"/>
          <w:sz w:val="21"/>
          <w:szCs w:val="21"/>
        </w:rPr>
      </w:pPr>
      <w:r>
        <w:rPr>
          <w:rFonts w:ascii="Arial" w:hAnsi="Arial" w:cs="Arial"/>
          <w:sz w:val="21"/>
          <w:szCs w:val="21"/>
        </w:rPr>
        <w:t>Base fellowship € 2,187.50/month (minus host contribution) + foreign allowance USA (€ 1,892 single or € 2,528–2,807 with family) + research cost allowance € 312.50/month + travel lump sums; family benefits (partner allowance € 205, child allowance € 400/100); afterwards optionally the Feodor Lynen Return Fellowship (up to 12 months, € 3,600/month) to bridge until group funding. Applications accepted at any time; selection meetings February/June/October; success rate approx. 40 %.</w:t>
      </w:r>
    </w:p>
    <w:sectPr w:rsidR="00CB77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1C5E"/>
    <w:rsid w:val="00451C5E"/>
    <w:rsid w:val="00823E15"/>
    <w:rsid w:val="00CB77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6508F"/>
  <w15:chartTrackingRefBased/>
  <w15:docId w15:val="{4FEAEAB7-6D4E-4258-8CF2-F4D647ED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A5632"/>
      <w:kern w:val="36"/>
      <w:sz w:val="28"/>
      <w:szCs w:val="28"/>
    </w:rPr>
  </w:style>
  <w:style w:type="paragraph" w:styleId="Heading2">
    <w:name w:val="heading 2"/>
    <w:basedOn w:val="Normal"/>
    <w:link w:val="Heading2Char"/>
    <w:uiPriority w:val="9"/>
    <w:qFormat/>
    <w:pPr>
      <w:spacing w:before="260" w:after="120"/>
      <w:outlineLvl w:val="1"/>
    </w:pPr>
    <w:rPr>
      <w:b/>
      <w:bCs/>
      <w:color w:val="1A5632"/>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69396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2442</Words>
  <Characters>13924</Characters>
  <Application>Microsoft Office Word</Application>
  <DocSecurity>4</DocSecurity>
  <Lines>116</Lines>
  <Paragraphs>32</Paragraphs>
  <ScaleCrop>false</ScaleCrop>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Feodor Lynen Research Fellowship - Application Buczek (English)</dc:title>
  <dc:subject/>
  <dc:creator>Buczek, Max</dc:creator>
  <cp:keywords/>
  <dc:description/>
  <cp:lastModifiedBy>Buczek, Max</cp:lastModifiedBy>
  <cp:revision>2</cp:revision>
  <dcterms:created xsi:type="dcterms:W3CDTF">2026-08-09T14:43:00Z</dcterms:created>
  <dcterms:modified xsi:type="dcterms:W3CDTF">2026-08-09T14:43:00Z</dcterms:modified>
</cp:coreProperties>
</file>