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 A systematic family screening across the oxide classes (cobaltites, nickelates, cuprates, further ferrites and manganites, fluorites) sharpens this picture: beyond the systems above, only YBa2Cu3O7-δ (Au/YBCO/Au switching established and replicated [90]) and Gd-doped CeO2 (Pt/Pt crossbars with a composition series [14]) fulfil all three evidence criteria – both are therefore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