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 A systematic family screening across the oxide classes (cobaltites, nickelates, cuprates, further ferrites and manganites, fluorites) sharpens this picture: beyond the systems above, only YBa2Cu3O7-δ (Au/YBCO/Au switching established and replicated [90]) and Gd-doped CeO2 (Pt/Pt crossbars with a composition series [14]) fulfil all three evidence criteria – both are therefore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series”, the applicant has grown an epitaxial LSCO composition series plus its switching-proven SrCoOx anchor – deliberately the cobaltite family whose Sr-rich end member switches under inert Au electrodes – established the O-K/Co-L covalency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during the applicant’s Feodor Lynen project [E4] and is transferred here to the ferrite and manganite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