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w:t>
      </w:r>
      <w:r>
        <w:rPr>
          <w:rFonts w:ascii="Arial" w:hAnsi="Arial" w:cs="Arial"/>
          <w:sz w:val="21"/>
          <w:szCs w:val="21"/>
        </w:rPr>
        <w:t xml:space="preserve">; Pr1-xCaxMnO3 between noble Pt contacts [36]; the cobaltite end member SrCoO2.5 under Au [37])</w:t>
      </w:r>
      <w:r>
        <w:rPr>
          <w:rFonts w:ascii="Arial" w:hAnsi="Arial" w:cs="Arial"/>
          <w:sz w:val="21"/>
          <w:szCs w:val="21"/>
        </w:rPr>
        <w:t xml:space="preserve">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switching-proven SrCoOx anchor, measured under inert Au/Pt electrodes – the geometry in which the end member’s switching is already published – with an experimentally measured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SrCoOx anchor, established the O-K/Co-L covalency scale across it at SSRL, and correlated it with switching in noble-contact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for memristive cobaltites: epitaxial </w:t>
            </w:r>
            <w:r>
              <w:rPr>
                <w:rFonts w:ascii="Arial" w:eastAsia="Times New Roman" w:hAnsi="Arial" w:cs="Arial"/>
                <w:sz w:val="19"/>
                <w:szCs w:val="19"/>
              </w:rPr>
              <w:t xml:space="preserve">La</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Sr</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CoO</w:t>
            </w:r>
            <w:r>
              <w:rPr>
                <w:rFonts w:ascii="Arial" w:eastAsia="Times New Roman" w:hAnsi="Arial" w:cs="Arial"/>
                <w:sz w:val="19"/>
                <w:szCs w:val="19"/>
                <w:vertAlign w:val="subscript"/>
              </w:rPr>
              <w:t xml:space="preserve">3-δ</w:t>
            </w:r>
            <w:r>
              <w:rPr>
                <w:rFonts w:ascii="Arial" w:eastAsia="Times New Roman" w:hAnsi="Arial" w:cs="Arial"/>
                <w:sz w:val="19"/>
                <w:szCs w:val="19"/>
              </w:rPr>
              <w:t xml:space="preserve"> pilot series with noble-contact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