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Along the descriptor chain the evidence is complementary but nowhere complete: canonical covalency-vs-doping spectroscopy exists for the ferrite and manganite series [14], a quantitative EV(x) relation with explicit covalency reasoning only for the ferrites [13, 34], and switching at inert or noble interfaces proven for individual stoichiometries only (Pt/SrTiO3 with cation-stoichiometry control [22]; the Sr-rich ferrite end member under inert stacks [23–25]</w:t>
      </w:r>
      <w:r>
        <w:rPr>
          <w:rFonts w:ascii="Arial" w:hAnsi="Arial" w:cs="Arial"/>
          <w:sz w:val="21"/>
          <w:szCs w:val="21"/>
        </w:rPr>
        <w:t xml:space="preserve">; Pr1-xCaxMnO3 between noble Pt contacts [36]; the cobaltite end member SrCoO2.5 under Au [37])</w:t>
      </w:r>
      <w:r>
        <w:rPr>
          <w:rFonts w:ascii="Arial" w:hAnsi="Arial" w:cs="Arial"/>
          <w:sz w:val="21"/>
          <w:szCs w:val="21"/>
        </w:rPr>
        <w:t xml:space="preserve"> – no system combines all three links, and the missing composition series are thus the field's untapped optimisation space, accessible from a demonstrated switching base.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w:t>
      </w:r>
      <w:r>
        <w:rPr>
          <w:rFonts w:ascii="Arial" w:hAnsi="Arial" w:cs="Arial"/>
          <w:sz w:val="21"/>
          <w:szCs w:val="21"/>
        </w:rPr>
        <w:t xml:space="preserve">: an epitaxial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chain-oxygen series switching between noble Au electrodes – the one oxide platform where noble-contact switching was already established and replicated – with a site-resolved XAS covalency scale correlated against the switching metrics of the same cells</w:t>
      </w:r>
      <w:r>
        <w:rPr>
          <w:rFonts w:ascii="Arial" w:hAnsi="Arial" w:cs="Arial"/>
          <w:sz w:val="21"/>
          <w:szCs w:val="21"/>
        </w:rPr>
        <w:t xml:space="preserve">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w:t>
      </w:r>
      <w:r>
        <w:rPr>
          <w:rFonts w:ascii="Arial" w:hAnsi="Arial" w:cs="Arial"/>
          <w:sz w:val="21"/>
          <w:szCs w:val="21"/>
        </w:rPr>
        <w:t xml:space="preserve">building on the noble-electrode descriptor methodology (inert-contact devices + XAS covalency scale) that I de-risked on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during my Feodor Lynen fellowship</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t>
      </w:r>
      <w:r>
        <w:rPr>
          <w:rFonts w:ascii="Arial" w:hAnsi="Arial" w:cs="Arial"/>
          <w:sz w:val="21"/>
          <w:szCs w:val="21"/>
        </w:rPr>
        <w:t xml:space="preserve">within the fellowship project I have grown a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chain-oxygen series, established the site-resolved O-K/Cu-L covalency scale at SSRL, and correlated it with switching in Au-contacted devices</w:t>
      </w:r>
      <w:r>
        <w:rPr>
          <w:rFonts w:ascii="Arial" w:hAnsi="Arial" w:cs="Arial"/>
          <w:sz w:val="21"/>
          <w:szCs w:val="21"/>
        </w:rPr>
        <w:t xml:space="preserve">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295451038"/>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295451038"/>
        <w:rPr>
          <w:rFonts w:ascii="Arial" w:hAnsi="Arial" w:cs="Arial"/>
          <w:sz w:val="18"/>
          <w:szCs w:val="18"/>
        </w:rPr>
      </w:pPr>
      <w:r>
        <w:rPr>
          <w:rFonts w:ascii="Arial" w:hAnsi="Arial" w:cs="Arial"/>
          <w:sz w:val="18"/>
          <w:szCs w:val="18"/>
        </w:rPr>
        <w:t xml:space="preserve">[38] C. Acha, M. J. Rozenberg, Journal of Physics: Condensed Matter 21, 045702 (2009).</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 xml:space="preserve">Feodor Lynen Research Fellow (Alexander von Humboldt Foundation), group of Prof. W. C. Chueh, Stanford University / SLAC – </w:t>
            </w:r>
            <w:r>
              <w:rPr>
                <w:rFonts w:ascii="Arial" w:eastAsia="Times New Roman" w:hAnsi="Arial" w:cs="Arial"/>
                <w:sz w:val="19"/>
                <w:szCs w:val="19"/>
              </w:rPr>
              <w:t xml:space="preserve">covalency descriptors beyond the perovskites: epitaxial </w:t>
            </w:r>
            <w:r>
              <w:rPr>
                <w:rFonts w:ascii="Arial" w:eastAsia="Times New Roman" w:hAnsi="Arial" w:cs="Arial"/>
                <w:sz w:val="19"/>
                <w:szCs w:val="19"/>
              </w:rPr>
              <w:t xml:space="preserve">YBa</w:t>
            </w:r>
            <w:r>
              <w:rPr>
                <w:rFonts w:ascii="Arial" w:eastAsia="Times New Roman" w:hAnsi="Arial" w:cs="Arial"/>
                <w:sz w:val="19"/>
                <w:szCs w:val="19"/>
                <w:vertAlign w:val="subscript"/>
              </w:rPr>
              <w:t xml:space="preserve">2</w:t>
            </w:r>
            <w:r>
              <w:rPr>
                <w:rFonts w:ascii="Arial" w:eastAsia="Times New Roman" w:hAnsi="Arial" w:cs="Arial"/>
                <w:sz w:val="19"/>
                <w:szCs w:val="19"/>
              </w:rPr>
              <w:t xml:space="preserve">Cu</w:t>
            </w:r>
            <w:r>
              <w:rPr>
                <w:rFonts w:ascii="Arial" w:eastAsia="Times New Roman" w:hAnsi="Arial" w:cs="Arial"/>
                <w:sz w:val="19"/>
                <w:szCs w:val="19"/>
                <w:vertAlign w:val="subscript"/>
              </w:rPr>
              <w:t xml:space="preserve">3</w:t>
            </w:r>
            <w:r>
              <w:rPr>
                <w:rFonts w:ascii="Arial" w:eastAsia="Times New Roman" w:hAnsi="Arial" w:cs="Arial"/>
                <w:sz w:val="19"/>
                <w:szCs w:val="19"/>
              </w:rPr>
              <w:t xml:space="preserve">O</w:t>
            </w:r>
            <w:r>
              <w:rPr>
                <w:rFonts w:ascii="Arial" w:eastAsia="Times New Roman" w:hAnsi="Arial" w:cs="Arial"/>
                <w:sz w:val="19"/>
                <w:szCs w:val="19"/>
                <w:vertAlign w:val="subscript"/>
              </w:rPr>
              <w:t xml:space="preserve">7-δ</w:t>
            </w:r>
            <w:r>
              <w:rPr>
                <w:rFonts w:ascii="Arial" w:eastAsia="Times New Roman" w:hAnsi="Arial" w:cs="Arial"/>
                <w:sz w:val="19"/>
                <w:szCs w:val="19"/>
              </w:rPr>
              <w:t xml:space="preserve"> chain-oxygen series with Au-contact devices, XAS</w:t>
            </w:r>
            <w:r>
              <w:rPr>
                <w:rFonts w:ascii="Arial" w:eastAsia="Times New Roman" w:hAnsi="Arial" w:cs="Arial"/>
                <w:sz w:val="19"/>
                <w:szCs w:val="19"/>
              </w:rPr>
              <w:t xml:space="preserve">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 xml:space="preserve">P1. M. Buczek, [co-authors], W. C. Chueh, [working title: </w:t>
      </w:r>
      <w:r>
        <w:rPr>
          <w:rFonts w:ascii="Arial" w:hAnsi="Arial" w:cs="Arial"/>
          <w:sz w:val="18"/>
          <w:szCs w:val="18"/>
        </w:rPr>
        <w:t xml:space="preserve">A site-resolved covalency scale for noble-electrode YBa2Cu3O7-δ memristive devices</w:t>
      </w:r>
      <w:r>
        <w:rPr>
          <w:rFonts w:ascii="Arial" w:hAnsi="Arial" w:cs="Arial"/>
          <w:sz w:val="18"/>
          <w:szCs w:val="18"/>
        </w:rPr>
        <w:t xml:space="preserve">],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