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AD417" w14:textId="77777777" w:rsidR="00B93F12" w:rsidRDefault="00B93F1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5A175763" w14:textId="77777777" w:rsidR="00B93F12" w:rsidRDefault="00B93F12">
      <w:pPr>
        <w:pStyle w:val="NormalWeb"/>
        <w:rPr>
          <w:rFonts w:ascii="Arial" w:hAnsi="Arial" w:cs="Arial"/>
          <w:sz w:val="21"/>
          <w:szCs w:val="21"/>
        </w:rPr>
      </w:pPr>
      <w:r>
        <w:rPr>
          <w:rFonts w:ascii="Arial" w:hAnsi="Arial" w:cs="Arial"/>
          <w:sz w:val="21"/>
          <w:szCs w:val="21"/>
        </w:rPr>
        <w:t> </w:t>
      </w:r>
    </w:p>
    <w:p w14:paraId="4C80536C" w14:textId="77777777" w:rsidR="00B93F12" w:rsidRDefault="00B93F12">
      <w:pPr>
        <w:pStyle w:val="NormalWeb"/>
        <w:rPr>
          <w:rFonts w:ascii="Arial" w:hAnsi="Arial" w:cs="Arial"/>
          <w:sz w:val="21"/>
          <w:szCs w:val="21"/>
        </w:rPr>
      </w:pPr>
      <w:r>
        <w:rPr>
          <w:rFonts w:ascii="Arial" w:hAnsi="Arial" w:cs="Arial"/>
          <w:sz w:val="21"/>
          <w:szCs w:val="21"/>
        </w:rPr>
        <w:t> </w:t>
      </w:r>
    </w:p>
    <w:p w14:paraId="720D23A2" w14:textId="77777777" w:rsidR="00B93F12" w:rsidRDefault="00B93F12">
      <w:pPr>
        <w:pStyle w:val="NormalWeb"/>
        <w:rPr>
          <w:rFonts w:ascii="Arial" w:hAnsi="Arial" w:cs="Arial"/>
          <w:sz w:val="21"/>
          <w:szCs w:val="21"/>
        </w:rPr>
      </w:pPr>
      <w:r>
        <w:rPr>
          <w:rFonts w:ascii="Arial" w:hAnsi="Arial" w:cs="Arial"/>
          <w:sz w:val="21"/>
          <w:szCs w:val="21"/>
        </w:rPr>
        <w:t> </w:t>
      </w:r>
    </w:p>
    <w:p w14:paraId="7D1CF00A" w14:textId="77777777" w:rsidR="00B93F12" w:rsidRDefault="00B93F1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5A31A8F1" w14:textId="77777777" w:rsidR="00B93F12" w:rsidRDefault="00B93F12">
      <w:pPr>
        <w:pStyle w:val="NormalWeb"/>
        <w:rPr>
          <w:rFonts w:ascii="Arial" w:hAnsi="Arial" w:cs="Arial"/>
          <w:sz w:val="21"/>
          <w:szCs w:val="21"/>
        </w:rPr>
      </w:pPr>
      <w:r>
        <w:rPr>
          <w:rFonts w:ascii="Arial" w:hAnsi="Arial" w:cs="Arial"/>
          <w:sz w:val="21"/>
          <w:szCs w:val="21"/>
        </w:rPr>
        <w:t> </w:t>
      </w:r>
    </w:p>
    <w:p w14:paraId="3E2B0263" w14:textId="77777777" w:rsidR="00B93F12" w:rsidRDefault="00B93F1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13076BD4" w14:textId="77777777" w:rsidR="00B93F12" w:rsidRDefault="00B93F1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1EC07205" w14:textId="77777777" w:rsidR="00B93F12" w:rsidRDefault="00B93F12">
      <w:pPr>
        <w:pStyle w:val="NormalWeb"/>
        <w:rPr>
          <w:rFonts w:ascii="Arial" w:hAnsi="Arial" w:cs="Arial"/>
          <w:sz w:val="21"/>
          <w:szCs w:val="21"/>
        </w:rPr>
      </w:pPr>
      <w:r>
        <w:rPr>
          <w:rFonts w:ascii="Arial" w:hAnsi="Arial" w:cs="Arial"/>
          <w:sz w:val="21"/>
          <w:szCs w:val="21"/>
        </w:rPr>
        <w:t> </w:t>
      </w:r>
    </w:p>
    <w:p w14:paraId="57E2E0AA" w14:textId="77777777" w:rsidR="00B93F12" w:rsidRDefault="00B93F1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47B93F30"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D1B2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AA48D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73645B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BA018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D9AA3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49D754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17DF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D6B47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356C39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C0C14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C2B37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09395D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E67F6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B14F3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22CCFEE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C8CE9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AB25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2D5C7602" w14:textId="77777777" w:rsidR="00B93F12" w:rsidRDefault="00B93F12">
      <w:pPr>
        <w:pStyle w:val="NormalWeb"/>
        <w:rPr>
          <w:rFonts w:ascii="Arial" w:hAnsi="Arial" w:cs="Arial"/>
          <w:sz w:val="21"/>
          <w:szCs w:val="21"/>
        </w:rPr>
      </w:pPr>
      <w:r>
        <w:rPr>
          <w:rFonts w:ascii="Arial" w:hAnsi="Arial" w:cs="Arial"/>
          <w:sz w:val="21"/>
          <w:szCs w:val="21"/>
        </w:rPr>
        <w:t> </w:t>
      </w:r>
    </w:p>
    <w:p w14:paraId="4F27EF23" w14:textId="77777777" w:rsidR="00B93F12" w:rsidRDefault="00B93F1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4A0DE556" w14:textId="77777777" w:rsidR="00B93F12" w:rsidRDefault="00B93F12">
      <w:pPr>
        <w:pStyle w:val="Heading1"/>
        <w:pageBreakBefore/>
        <w:rPr>
          <w:rFonts w:ascii="Arial" w:eastAsia="Times New Roman" w:hAnsi="Arial" w:cs="Arial"/>
        </w:rPr>
      </w:pPr>
      <w:r>
        <w:rPr>
          <w:rFonts w:ascii="Arial" w:eastAsia="Times New Roman" w:hAnsi="Arial" w:cs="Arial"/>
        </w:rPr>
        <w:lastRenderedPageBreak/>
        <w:t>Summary</w:t>
      </w:r>
    </w:p>
    <w:p w14:paraId="1223E2FF" w14:textId="77777777" w:rsidR="00B93F12" w:rsidRDefault="00B93F1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05C80072" w14:textId="77777777" w:rsidR="00B93F12" w:rsidRDefault="00B93F1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later</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64C5C48B" w14:textId="77777777" w:rsidR="00B93F12" w:rsidRDefault="00B93F12">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w:t>
      </w:r>
      <w:r>
        <w:rPr>
          <w:rFonts w:ascii="Arial" w:hAnsi="Arial" w:cs="Arial"/>
          <w:sz w:val="21"/>
          <w:szCs w:val="21"/>
        </w:rPr>
        <w:t xml:space="preserve">validated by a “blind” prediction on an oxide not contained in the training set – with noble-contact-proven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(cuprate class) and Pt/Pt-platform Gd-doped CeO</w:t>
      </w:r>
      <w:r>
        <w:rPr>
          <w:rFonts w:ascii="Arial" w:hAnsi="Arial" w:cs="Arial"/>
          <w:sz w:val="21"/>
          <w:szCs w:val="21"/>
          <w:vertAlign w:val="subscript"/>
        </w:rPr>
        <w:t xml:space="preserve">2</w:t>
      </w:r>
      <w:r>
        <w:rPr>
          <w:rFonts w:ascii="Arial" w:hAnsi="Arial" w:cs="Arial"/>
          <w:sz w:val="21"/>
          <w:szCs w:val="21"/>
        </w:rPr>
        <w:t xml:space="preserve"> (fluorite class) as pre-screened candidates.</w:t>
      </w:r>
    </w:p>
    <w:p w14:paraId="1211EC01" w14:textId="77777777" w:rsidR="00B93F12" w:rsidRDefault="00B93F12">
      <w:pPr>
        <w:pStyle w:val="Heading1"/>
        <w:pageBreakBefore/>
        <w:rPr>
          <w:rFonts w:ascii="Arial" w:eastAsia="Times New Roman" w:hAnsi="Arial" w:cs="Arial"/>
        </w:rPr>
      </w:pPr>
      <w:r>
        <w:rPr>
          <w:rFonts w:ascii="Arial" w:eastAsia="Times New Roman" w:hAnsi="Arial" w:cs="Arial"/>
        </w:rPr>
        <w:t>1  State of the Art and Preliminary Work</w:t>
      </w:r>
    </w:p>
    <w:p w14:paraId="54979E3B" w14:textId="77777777" w:rsidR="00B93F12" w:rsidRDefault="00B93F12">
      <w:pPr>
        <w:pStyle w:val="Heading2"/>
        <w:rPr>
          <w:rFonts w:ascii="Arial" w:eastAsia="Times New Roman" w:hAnsi="Arial" w:cs="Arial"/>
        </w:rPr>
      </w:pPr>
      <w:r>
        <w:rPr>
          <w:rFonts w:ascii="Arial" w:eastAsia="Times New Roman" w:hAnsi="Arial" w:cs="Arial"/>
        </w:rPr>
        <w:t>1.1  State of the art</w:t>
      </w:r>
    </w:p>
    <w:p w14:paraId="579E1C4B" w14:textId="77777777" w:rsidR="00B93F12" w:rsidRDefault="00B93F12">
      <w:pPr>
        <w:pStyle w:val="Heading3"/>
        <w:rPr>
          <w:rFonts w:ascii="Arial" w:eastAsia="Times New Roman" w:hAnsi="Arial" w:cs="Arial"/>
        </w:rPr>
      </w:pPr>
      <w:r>
        <w:rPr>
          <w:rFonts w:ascii="Arial" w:eastAsia="Times New Roman" w:hAnsi="Arial" w:cs="Arial"/>
        </w:rPr>
        <w:t>1.1.1  Memristive switching in oxides: the valence change mechanism</w:t>
      </w:r>
    </w:p>
    <w:p w14:paraId="67B0416F" w14:textId="77777777" w:rsidR="00B93F12" w:rsidRDefault="00B93F1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6FCB3782" w14:textId="77777777" w:rsidR="00B93F12" w:rsidRDefault="00B93F1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621D5D8D" w14:textId="77777777" w:rsidR="00B93F12" w:rsidRDefault="00B93F1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1B9AD6A5" w14:textId="77777777" w:rsidR="00B93F12" w:rsidRDefault="00B93F1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1E294B6A" w14:textId="77777777" w:rsidR="00B93F12" w:rsidRDefault="00B93F1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xml:space="preserve">) back to the electronic structure – ultimately to the metal–oxygen covalency. The conceptual foundation is the Zaanen–Sawatzky–Allen scheme [21]: the charge-transfer energy Δ (O 2p → metal 3d) measures the position of the O-2p states relative to the metal d states </w:t>
      </w:r>
      <w:r>
        <w:rPr>
          <w:rFonts w:ascii="Arial" w:hAnsi="Arial" w:cs="Arial"/>
          <w:sz w:val="21"/>
          <w:szCs w:val="21"/>
        </w:rPr>
        <w:t xml:space="preserve">and is the microscopic measure of covalency. Its quantitative basis is the cluster-model/configuration-interaction analysis of core-level and valence spectra developed by Fujimori, Bocquet, Saitoh, Sarma and co-workers [91–94], which extracts Δ, U and transfer integrals compound by compound; the covalency scale of this programme is anchored in that framework – hybridisation and covalency are kept strictly distinct, a distinction frequently blurred in the catalysis-descriptor literature, which is used here as motivation and treated critically [95].</w:t>
      </w:r>
      <w:r>
        <w:rPr>
          <w:rFonts w:ascii="Arial" w:hAnsi="Arial" w:cs="Arial"/>
          <w:sz w:val="21"/>
          <w:szCs w:val="21"/>
        </w:rPr>
        <w:t xml:space="preserve">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313EE252" w14:textId="77777777" w:rsidR="00B93F12" w:rsidRDefault="00B93F1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547D4233" w14:textId="77777777" w:rsidR="00B93F12" w:rsidRDefault="00B93F1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64617345" w14:textId="77777777" w:rsidR="00B93F12" w:rsidRDefault="00B93F1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0990089E" w14:textId="77777777" w:rsidR="00B93F12" w:rsidRDefault="00B93F12">
      <w:pPr>
        <w:pStyle w:val="NormalWeb"/>
        <w:rPr>
          <w:rFonts w:ascii="Arial" w:hAnsi="Arial" w:cs="Arial"/>
          <w:sz w:val="21"/>
          <w:szCs w:val="21"/>
        </w:rPr>
      </w:pPr>
      <w:r>
        <w:rPr>
          <w:rFonts w:ascii="Arial" w:hAnsi="Arial" w:cs="Arial"/>
          <w:sz w:val="21"/>
          <w:szCs w:val="21"/>
        </w:rPr>
        <w:t xml:space="preserve">XAS provides exactly the observables required for an experimental descriptor map. The pre-edge of the O-K edge (528–532 eV) arises from transitions into unoccupied, covalently hybridised O2p–TM3d states; </w:t>
      </w:r>
      <w:r>
        <w:rPr>
          <w:rFonts w:ascii="Arial" w:hAnsi="Arial" w:cs="Arial"/>
          <w:sz w:val="21"/>
          <w:szCs w:val="21"/>
        </w:rPr>
        <w:t xml:space="preserve">its integrated intensity is a widely used, series-internally comparable measure of metal–oxygen hybridisation [45, 47] – not by itself an absolute covalency scale [95]</w:t>
      </w:r>
      <w:r>
        <w:rPr>
          <w:rFonts w:ascii="Arial" w:hAnsi="Arial" w:cs="Arial"/>
          <w:sz w:val="21"/>
          <w:szCs w:val="21"/>
        </w:rPr>
        <w:t xml:space="preserve">.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including the primary ferrite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75A7541C" w14:textId="77777777" w:rsidR="00B93F12" w:rsidRDefault="00B93F1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2F52B7A6" w14:textId="77777777" w:rsidR="00B93F12" w:rsidRDefault="00B93F12">
      <w:pPr>
        <w:pStyle w:val="Heading3"/>
        <w:rPr>
          <w:rFonts w:ascii="Arial" w:eastAsia="Times New Roman" w:hAnsi="Arial" w:cs="Arial"/>
        </w:rPr>
      </w:pPr>
      <w:r>
        <w:rPr>
          <w:rFonts w:ascii="Arial" w:eastAsia="Times New Roman" w:hAnsi="Arial" w:cs="Arial"/>
        </w:rPr>
        <w:t>1.1.4  PLD growth of epitaxial oxide heterostructures</w:t>
      </w:r>
    </w:p>
    <w:p w14:paraId="135C305A" w14:textId="77777777" w:rsidR="00B93F12" w:rsidRDefault="00B93F1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52B7A664" w14:textId="77777777" w:rsidR="00B93F12" w:rsidRDefault="00B93F1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6A771EEB" w14:textId="77777777" w:rsidR="00B93F12" w:rsidRDefault="00B93F1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76EA2058"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0EE7BD4B" w14:textId="77777777" w:rsidR="00B93F12" w:rsidRDefault="00B93F12">
      <w:pPr>
        <w:pStyle w:val="Heading3"/>
        <w:rPr>
          <w:rFonts w:ascii="Arial" w:eastAsia="Times New Roman" w:hAnsi="Arial" w:cs="Arial"/>
        </w:rPr>
      </w:pPr>
      <w:r>
        <w:rPr>
          <w:rFonts w:ascii="Arial" w:eastAsia="Times New Roman" w:hAnsi="Arial" w:cs="Arial"/>
        </w:rPr>
        <w:t>1.1.6  Feasibility and prior findings on the chosen material series</w:t>
      </w:r>
    </w:p>
    <w:p w14:paraId="6B559A52" w14:textId="77777777" w:rsidR="00B93F12" w:rsidRDefault="00B93F1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xml:space="preserve">, by contrast, has only been studied rudimentarily (polycrystalline, chemically deposited films [67, 87]) – consistent with its high vacancy formation energy. </w:t>
      </w:r>
      <w:r>
        <w:rPr>
          <w:rFonts w:ascii="Arial" w:hAnsi="Arial" w:cs="Arial"/>
          <w:sz w:val="21"/>
          <w:szCs w:val="21"/>
        </w:rPr>
        <w:t xml:space="preserve">For the manganite series,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is the best-documented family [4, E2, 75] and demonstrably switches between noble Pt contacts with oxygen-stoichiometry-dependent behaviour [89];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by contrast, offers no noble-metal-interface demonstration (tip-based multilevel recording [68], reactive-contact devices [69, 88], in-situ TEM of vacancy-driven transitions [19]).</w:t>
      </w:r>
      <w:r>
        <w:rPr>
          <w:rFonts w:ascii="Arial" w:hAnsi="Arial" w:cs="Arial"/>
          <w:sz w:val="21"/>
          <w:szCs w:val="21"/>
        </w:rPr>
        <w:t xml:space="preserve">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 – crucially, with Au-active noble-contact stacks among them [71, 25], which qualifies the cobaltite series under the same noble-interface criterion as the ferrites.</w:t>
      </w:r>
    </w:p>
    <w:p w14:paraId="4E0E1ED8" w14:textId="77777777" w:rsidR="00B93F12" w:rsidRDefault="00B93F1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w:t>
      </w:r>
      <w:r>
        <w:rPr>
          <w:rFonts w:ascii="Arial" w:hAnsi="Arial" w:cs="Arial"/>
          <w:sz w:val="21"/>
          <w:szCs w:val="21"/>
        </w:rPr>
        <w:t xml:space="preserve">A systematic evidence audit along the descriptor chain – covalency vs. stoichiometry (XAS), EV vs. covalency, and switching at a noble-metal interface – underpins the materials strategy of this proposal: every programme series enters with a demonstrated noble-contact switching base and a documented descriptor axis. The ferrites combine the canonical covalency XAS [46] and quantitative EV(x) [31, 86] with inert-stack switching at the Sr-rich end member [16, 17]; the manganite series Pr1-xCaxMnO3 combines the published composition benchmark [75] with noble Pt-contact switching [89]; the cobaltites combine the most explicit covalency→EV link of all families [39] with Au-active end-member switching [71, 25]; and stoichiometry-controlled switching at a Pt interface is demonstrated for the cation stoichiometry of SrTiO3 [78]. The same audit, extended as a family screening across the oxide classes, identifies YBa2Cu3O7-δ (Au/YBCO/Au established and replicated [90]) and Gd-doped CeO2 (Pt/Pt crossbars with a composition series [14]) as the only further systems fulfilling all three criteria – reserved as pre-screened blind-validation candidates of the map (WP5).</w:t>
      </w:r>
    </w:p>
    <w:p w14:paraId="0EC22368" w14:textId="77777777" w:rsidR="00B93F12" w:rsidRDefault="00B93F1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48D50594" w14:textId="77777777" w:rsidR="00B93F12" w:rsidRDefault="00B93F12">
      <w:pPr>
        <w:pStyle w:val="Heading2"/>
        <w:rPr>
          <w:rFonts w:ascii="Arial" w:eastAsia="Times New Roman" w:hAnsi="Arial" w:cs="Arial"/>
        </w:rPr>
      </w:pPr>
      <w:r>
        <w:rPr>
          <w:rFonts w:ascii="Arial" w:eastAsia="Times New Roman" w:hAnsi="Arial" w:cs="Arial"/>
        </w:rPr>
        <w:t>1.2  Preliminary work of the applicant</w:t>
      </w:r>
    </w:p>
    <w:p w14:paraId="2F43CC78" w14:textId="77777777" w:rsidR="00B93F12" w:rsidRDefault="00B93F1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5707D8EE" w14:textId="77777777" w:rsidR="00B93F12" w:rsidRDefault="00B93F1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631A0B49" w14:textId="77777777" w:rsidR="00B93F12" w:rsidRDefault="00B93F1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792FCDC7" w14:textId="77777777" w:rsidR="00B93F12" w:rsidRDefault="00B93F1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39F63877" w14:textId="77777777" w:rsidR="00B93F12" w:rsidRDefault="00B93F1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Within the fellowship project “Covalency as an experimental descriptor of intrinsic memristive switching: the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model series”, the applicant has grown an epitaxial STF composition series – deliberately a system that switches </w:t>
      </w:r>
      <w:r>
        <w:rPr>
          <w:rFonts w:ascii="Arial" w:hAnsi="Arial" w:cs="Arial"/>
          <w:i/>
          <w:iCs/>
          <w:sz w:val="21"/>
          <w:szCs w:val="21"/>
        </w:rPr>
        <w:t>intrinsically</w:t>
      </w:r>
      <w:r>
        <w:rPr>
          <w:rFonts w:ascii="Arial" w:hAnsi="Arial" w:cs="Arial"/>
          <w:sz w:val="21"/>
          <w:szCs w:val="21"/>
        </w:rPr>
        <w:t>, with the oxygen balance inside the oxide, sealed by gas-tight, photoelectron-transparent graphene electrodes – established the O-K/Fe-L covalency scale across it at the Stanford Synchrotron Radiation Lightsource (SSRL), and correlated it with the switching metrics of the same cells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35E0F9BC" w14:textId="77777777" w:rsidR="00B93F12" w:rsidRDefault="00B93F1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12D9663C" w14:textId="77777777" w:rsidR="00B93F12" w:rsidRDefault="00B93F12">
      <w:pPr>
        <w:pStyle w:val="NormalWeb"/>
        <w:rPr>
          <w:rFonts w:ascii="Arial" w:hAnsi="Arial" w:cs="Arial"/>
          <w:sz w:val="21"/>
          <w:szCs w:val="21"/>
        </w:rPr>
      </w:pPr>
      <w:r>
        <w:rPr>
          <w:rFonts w:ascii="Arial" w:hAnsi="Arial" w:cs="Arial"/>
          <w:b/>
          <w:bCs/>
          <w:sz w:val="21"/>
          <w:szCs w:val="21"/>
        </w:rPr>
        <w:t>Project-relevant publications of the applicant:</w:t>
      </w:r>
    </w:p>
    <w:p w14:paraId="3933C378" w14:textId="77777777" w:rsidR="00B93F12" w:rsidRDefault="00B93F12">
      <w:pPr>
        <w:spacing w:after="60"/>
        <w:ind w:hanging="480"/>
        <w:divId w:val="2076389555"/>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11DEAADD" w14:textId="77777777" w:rsidR="00B93F12" w:rsidRDefault="00B93F12">
      <w:pPr>
        <w:spacing w:after="60"/>
        <w:ind w:hanging="480"/>
        <w:divId w:val="2076389555"/>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264D92B7" w14:textId="77777777" w:rsidR="00B93F12" w:rsidRDefault="00B93F12">
      <w:pPr>
        <w:spacing w:after="60"/>
        <w:ind w:hanging="480"/>
        <w:divId w:val="2076389555"/>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9023353" w14:textId="77777777" w:rsidR="00B93F12" w:rsidRDefault="00B93F12">
      <w:pPr>
        <w:spacing w:after="60"/>
        <w:ind w:hanging="480"/>
        <w:divId w:val="2076389555"/>
        <w:rPr>
          <w:rFonts w:ascii="Arial" w:hAnsi="Arial" w:cs="Arial"/>
          <w:sz w:val="18"/>
          <w:szCs w:val="18"/>
        </w:rPr>
      </w:pPr>
      <w:r>
        <w:rPr>
          <w:rFonts w:ascii="Arial" w:hAnsi="Arial" w:cs="Arial"/>
          <w:sz w:val="18"/>
          <w:szCs w:val="18"/>
        </w:rPr>
        <w:t>[E4] M. Buczek, [co-authors], W. C. Chueh, [working title: An experimental covalency scale for intrinsically switching SrTi</w:t>
      </w:r>
      <w:r>
        <w:rPr>
          <w:rFonts w:ascii="Arial" w:hAnsi="Arial" w:cs="Arial"/>
          <w:sz w:val="18"/>
          <w:szCs w:val="18"/>
          <w:vertAlign w:val="subscript"/>
        </w:rPr>
        <w:t>1-x</w:t>
      </w:r>
      <w:r>
        <w:rPr>
          <w:rFonts w:ascii="Arial" w:hAnsi="Arial" w:cs="Arial"/>
          <w:sz w:val="18"/>
          <w:szCs w:val="18"/>
        </w:rPr>
        <w:t>Fe</w:t>
      </w:r>
      <w:r>
        <w:rPr>
          <w:rFonts w:ascii="Arial" w:hAnsi="Arial" w:cs="Arial"/>
          <w:sz w:val="18"/>
          <w:szCs w:val="18"/>
          <w:vertAlign w:val="subscript"/>
        </w:rPr>
        <w:t>x</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memristive devices]. Manuscript in preparation (Feodor Lynen fellowship; update status at submission time).</w:t>
      </w:r>
    </w:p>
    <w:p w14:paraId="3477BD83" w14:textId="77777777" w:rsidR="00B93F12" w:rsidRDefault="00B93F12">
      <w:pPr>
        <w:pStyle w:val="muted1"/>
        <w:divId w:val="2076389555"/>
        <w:rPr>
          <w:rFonts w:ascii="Arial" w:hAnsi="Arial" w:cs="Arial"/>
        </w:rPr>
      </w:pPr>
      <w:r>
        <w:rPr>
          <w:rFonts w:ascii="Arial" w:hAnsi="Arial" w:cs="Arial"/>
        </w:rPr>
        <w:t>[Complete author lists and bibliographic details before submission; add patent application (NeuroSys) as [E5] if applicable.]</w:t>
      </w:r>
    </w:p>
    <w:p w14:paraId="70AE1391" w14:textId="77777777" w:rsidR="00B93F12" w:rsidRDefault="00B93F12">
      <w:pPr>
        <w:pStyle w:val="Heading1"/>
        <w:pageBreakBefore/>
        <w:rPr>
          <w:rFonts w:ascii="Arial" w:eastAsia="Times New Roman" w:hAnsi="Arial" w:cs="Arial"/>
        </w:rPr>
      </w:pPr>
      <w:r>
        <w:rPr>
          <w:rFonts w:ascii="Arial" w:eastAsia="Times New Roman" w:hAnsi="Arial" w:cs="Arial"/>
        </w:rPr>
        <w:t>2  Objectives and Work Programme</w:t>
      </w:r>
    </w:p>
    <w:p w14:paraId="61319EBB" w14:textId="77777777" w:rsidR="00B93F12" w:rsidRDefault="00B93F12">
      <w:pPr>
        <w:pStyle w:val="Heading2"/>
        <w:rPr>
          <w:rFonts w:ascii="Arial" w:eastAsia="Times New Roman" w:hAnsi="Arial" w:cs="Arial"/>
        </w:rPr>
      </w:pPr>
      <w:r>
        <w:rPr>
          <w:rFonts w:ascii="Arial" w:eastAsia="Times New Roman" w:hAnsi="Arial" w:cs="Arial"/>
        </w:rPr>
        <w:t>2.1  Anticipated total duration</w:t>
      </w:r>
    </w:p>
    <w:p w14:paraId="47A34BEB" w14:textId="77777777" w:rsidR="00B93F12" w:rsidRDefault="00B93F1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5EA443FF" w14:textId="77777777" w:rsidR="00B93F12" w:rsidRDefault="00B93F12">
      <w:pPr>
        <w:pStyle w:val="Heading2"/>
        <w:rPr>
          <w:rFonts w:ascii="Arial" w:eastAsia="Times New Roman" w:hAnsi="Arial" w:cs="Arial"/>
        </w:rPr>
      </w:pPr>
      <w:r>
        <w:rPr>
          <w:rFonts w:ascii="Arial" w:eastAsia="Times New Roman" w:hAnsi="Arial" w:cs="Arial"/>
        </w:rPr>
        <w:t>2.2  Objectives</w:t>
      </w:r>
    </w:p>
    <w:p w14:paraId="5ED16E5E" w14:textId="77777777" w:rsidR="00B93F12" w:rsidRDefault="00B93F1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2383F919" w14:textId="77777777" w:rsidR="00B93F12" w:rsidRDefault="00B93F12">
      <w:pPr>
        <w:pStyle w:val="NormalWeb"/>
        <w:rPr>
          <w:rFonts w:ascii="Arial" w:hAnsi="Arial" w:cs="Arial"/>
          <w:sz w:val="21"/>
          <w:szCs w:val="21"/>
        </w:rPr>
      </w:pPr>
      <w:r>
        <w:rPr>
          <w:rFonts w:ascii="Arial" w:hAnsi="Arial" w:cs="Arial"/>
          <w:sz w:val="21"/>
          <w:szCs w:val="21"/>
        </w:rPr>
        <w:t>Three testable hypotheses follow:</w:t>
      </w:r>
    </w:p>
    <w:p w14:paraId="18F7EB9B"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7A1663A2"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47F9453F"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40E2646B"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4833313D" w14:textId="77777777" w:rsidR="00B93F12" w:rsidRDefault="00B93F12">
      <w:pPr>
        <w:pStyle w:val="Heading2"/>
        <w:rPr>
          <w:rFonts w:ascii="Arial" w:eastAsia="Times New Roman" w:hAnsi="Arial" w:cs="Arial"/>
        </w:rPr>
      </w:pPr>
      <w:r>
        <w:rPr>
          <w:rFonts w:ascii="Arial" w:eastAsia="Times New Roman" w:hAnsi="Arial" w:cs="Arial"/>
        </w:rPr>
        <w:t>2.3  Materials strategy: covalency as an isolated control variable</w:t>
      </w:r>
    </w:p>
    <w:p w14:paraId="6EF4DF3A" w14:textId="77777777" w:rsidR="00B93F12" w:rsidRDefault="00B93F1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4324ADC1"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712A9E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2 – </w:t>
      </w:r>
      <w:r>
        <w:rPr>
          <w:rFonts w:ascii="Arial" w:eastAsia="Times New Roman" w:hAnsi="Arial" w:cs="Arial"/>
          <w:b/>
          <w:bCs/>
          <w:sz w:val="21"/>
          <w:szCs w:val="21"/>
        </w:rPr>
        <w:t xml:space="preserve">Pr</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Ca</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MnO</w:t>
      </w:r>
      <w:r>
        <w:rPr>
          <w:rFonts w:ascii="Arial" w:eastAsia="Times New Roman" w:hAnsi="Arial" w:cs="Arial"/>
          <w:b/>
          <w:bCs/>
          <w:sz w:val="21"/>
          <w:szCs w:val="21"/>
          <w:vertAlign w:val="subscript"/>
        </w:rPr>
        <w:t xml:space="preserve">3</w:t>
      </w:r>
      <w:r>
        <w:rPr>
          <w:rFonts w:ascii="Arial" w:eastAsia="Times New Roman" w:hAnsi="Arial" w:cs="Arial"/>
          <w:b/>
          <w:bCs/>
          <w:sz w:val="21"/>
          <w:szCs w:val="21"/>
        </w:rPr>
        <w:t xml:space="preserve"> (x = 0.1 … 0.8): Reference system with robust, well-documented VCM behaviour [4–6] and the published composition benchmark of Asanuma et al. [75], plus a demonstrated noble-contact switching base [89]; the applicant’s PCMO expertise [E1–E3] de-risks growth, processing and metrology.</w:t>
      </w:r>
    </w:p>
    <w:p w14:paraId="0B09C9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3 – </w:t>
      </w:r>
      <w:r>
        <w:rPr>
          <w:rFonts w:ascii="Arial" w:eastAsia="Times New Roman" w:hAnsi="Arial" w:cs="Arial"/>
          <w:b/>
          <w:bCs/>
          <w:sz w:val="21"/>
          <w:szCs w:val="21"/>
        </w:rPr>
        <w:t xml:space="preserve">La</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Sr</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CoO</w:t>
      </w:r>
      <w:r>
        <w:rPr>
          <w:rFonts w:ascii="Arial" w:eastAsia="Times New Roman" w:hAnsi="Arial" w:cs="Arial"/>
          <w:b/>
          <w:bCs/>
          <w:sz w:val="21"/>
          <w:szCs w:val="21"/>
          <w:vertAlign w:val="subscript"/>
        </w:rPr>
        <w:t xml:space="preserve">3-δ</w:t>
      </w:r>
      <w:r>
        <w:rPr>
          <w:rFonts w:ascii="Arial" w:eastAsia="Times New Roman" w:hAnsi="Arial" w:cs="Arial"/>
          <w:b/>
          <w:bCs/>
          <w:sz w:val="21"/>
          <w:szCs w:val="21"/>
        </w:rPr>
        <w:t xml:space="preserve"> (second project phase): Densification and extension of the map, entering with a switching-proven noble-contact anchor – the SrCoO2.5 end member switches in Au-active stacks [71, 25] – and with the most explicitly documented covalency→EV link of all families (experimental defect chemistry plus DFT [39]); the cross-comparison Fe/Mn/Co separates covalency-driven from B-cation-specific effects (spin state, bandwidth) and tests the transferability of the descriptor.</w:t>
      </w:r>
    </w:p>
    <w:p w14:paraId="117E2F7B" w14:textId="77777777" w:rsidR="00B93F12" w:rsidRDefault="00B93F1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pPr>
        <w:pStyle w:val="NormalWeb"/>
        <w:rPr>
          <w:rFonts w:ascii="Arial" w:hAnsi="Arial" w:cs="Arial"/>
          <w:sz w:val="21"/>
          <w:szCs w:val="21"/>
        </w:rPr>
      </w:pPr>
      <w:r>
        <w:rPr>
          <w:rFonts w:ascii="Arial" w:hAnsi="Arial" w:cs="Arial"/>
          <w:sz w:val="21"/>
          <w:szCs w:val="21"/>
        </w:rPr>
        <w:t xml:space="preserve">A third handle addresses throughput and the weakest link of the evidence chain at once - one wafer, one map. Alongside the discrete samples, each series is additionally grown as a single wafer carrying a continuous lateral cation gradient in continuous-compositional-spread mode [96], for which combinatorial large-area hardware up to four inches exists [97] and epitaxial perovskite spreads are established [98]. Spatially resolved soft XAS turns such a wafer into a continuous covalency map - on-the-fly L-edge mapping across a combinatorial spread has been demonstrated [99], and beamlines built for automated high-throughput NEXAFS are available [100] - while automated prober mapping of the device arrays along the same track yields the corresponding switching map [101]; with 0.2-0.5 mm spots on a 50 mm gradient this delivers 100-250 independent compositions per wafer. The same wafer then carries the defect-chemical gas titration: equilibrated at defined oxygen partial pressure and temperature, every position adopts its own non-stoichiometry, and repeating the equilibration across oxidising and reducing conditions yields the reduction enthalpy as a function of composition - an experimentally determined vacancy-formation energy measured on the same spots as the covalency descriptor. Because XAS delivers valence rather than absolute oxygen content, the map is calibrated against chemical-capacitance or chemical-expansion anchor points [102, 103], with optical absorption as a second, fully imageable read-out [104]; thin-film defect chemistry of exactly this type is established for ceria films [102] and for ferrite films [103]. This is what turns the second link of the chain - EV versus covalency - from a computed premise into a measured correlation. The risks are explicit and budgeted: composition, thickness and strain gradients must be deconvolved by per-position metrology (XRF/WDS, XRR, XRD), because cation transfer in PLD is fluence- and pressure-sensitive [59]; electron-yield detection is limited in pressure and probes only the outer nanometres, so bulk-sensitive fluorescence yield is recorded alongside; and soft-X-ray photoreduction of Ce, Mn, Fe and Co drives the valence in the same direction as the gas-induced reduction under study, which makes dose series a precondition of every descriptor claim rather than an afterthought.</w:t>
      </w:r>
    </w:p>
    <w:p w14:paraId="30F0347C" w14:textId="77777777" w:rsidR="00B93F12" w:rsidRDefault="00B93F12">
      <w:pPr>
        <w:pStyle w:val="Heading2"/>
        <w:rPr>
          <w:rFonts w:ascii="Arial" w:eastAsia="Times New Roman" w:hAnsi="Arial" w:cs="Arial"/>
        </w:rPr>
      </w:pPr>
      <w:r>
        <w:rPr>
          <w:rFonts w:ascii="Arial" w:eastAsia="Times New Roman" w:hAnsi="Arial" w:cs="Arial"/>
        </w:rPr>
        <w:t>2.4  Work programme</w:t>
      </w:r>
    </w:p>
    <w:p w14:paraId="0A1A58BC" w14:textId="77777777" w:rsidR="00B93F12" w:rsidRDefault="00B93F1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2FCAD60D" w14:textId="77777777" w:rsidR="00B93F12" w:rsidRDefault="00B93F12">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growth of a doping series, XAS covalency quantification, graphene-sealed intrinsic devices, correlation against switching data – has been established and de-risked on the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pilot series during the applicant’s Feodor Lynen project [E4] and is transferred here to the mixed-valent A-site series and to the group’s own infrastructure.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r>
        <w:rPr>
          <w:rFonts w:ascii="Arial" w:hAnsi="Arial" w:cs="Arial"/>
          <w:sz w:val="21"/>
          <w:szCs w:val="21"/>
        </w:rPr>
        <w:t xml:space="preserve"> In addition, gradient wafers carrying a continuous lateral cation gradient are grown in continuous-compositional-spread mode [96, 97] and characterised position by position (XRF/WDS composition map, XRR thickness, XRD structural quality); they are the high-throughput carrier for the spectroscopy in WP4 and the correlation in WP5.</w:t>
      </w:r>
    </w:p>
    <w:p w14:paraId="13827B94" w14:textId="77777777" w:rsidR="00B93F12" w:rsidRDefault="00B93F12">
      <w:pPr>
        <w:pStyle w:val="Heading3"/>
        <w:rPr>
          <w:rFonts w:ascii="Arial" w:eastAsia="Times New Roman" w:hAnsi="Arial" w:cs="Arial"/>
        </w:rPr>
      </w:pPr>
      <w:r>
        <w:rPr>
          <w:rFonts w:ascii="Arial" w:eastAsia="Times New Roman" w:hAnsi="Arial" w:cs="Arial"/>
        </w:rPr>
        <w:t xml:space="preserve">WP2 – Device integration (doctoral researcher 2, supported by group leader; years 1–5)</w:t>
      </w:r>
    </w:p>
    <w:p w14:paraId="0FCBA1DA" w14:textId="77777777" w:rsidR="00B93F12" w:rsidRDefault="00B93F1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120CEDCF" w14:textId="77777777" w:rsidR="00B93F12" w:rsidRDefault="00B93F12">
      <w:pPr>
        <w:pStyle w:val="Heading3"/>
        <w:rPr>
          <w:rFonts w:ascii="Arial" w:eastAsia="Times New Roman" w:hAnsi="Arial" w:cs="Arial"/>
        </w:rPr>
      </w:pPr>
      <w:r>
        <w:rPr>
          <w:rFonts w:ascii="Arial" w:eastAsia="Times New Roman" w:hAnsi="Arial" w:cs="Arial"/>
        </w:rPr>
        <w:t>WP3 – Memristive characterisation (doctoral researcher 2; years 2–6)</w:t>
      </w:r>
    </w:p>
    <w:p w14:paraId="150BC7DD" w14:textId="77777777" w:rsidR="00B93F12" w:rsidRDefault="00B93F12">
      <w:pPr>
        <w:pStyle w:val="NormalWeb"/>
        <w:rPr>
          <w:rFonts w:ascii="Arial" w:hAnsi="Arial" w:cs="Arial"/>
          <w:sz w:val="21"/>
          <w:szCs w:val="21"/>
        </w:rPr>
      </w:pPr>
      <w:r>
        <w:rPr>
          <w:rFonts w:ascii="Arial" w:hAnsi="Arial" w:cs="Arial"/>
          <w:sz w:val="21"/>
          <w:szCs w:val="21"/>
        </w:rPr>
        <w:t>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7FFF1C75" w14:textId="77777777" w:rsidR="00B93F12" w:rsidRDefault="00B93F12">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78F3B707" w14:textId="77777777" w:rsidR="00B93F12" w:rsidRDefault="00B93F1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r>
        <w:rPr>
          <w:rFonts w:ascii="Arial" w:hAnsi="Arial" w:cs="Arial"/>
          <w:sz w:val="21"/>
          <w:szCs w:val="21"/>
        </w:rPr>
        <w:t xml:space="preserve"> On the gradient wafers, XAS is acquired as a positional map, and the defect-chemical gas titration (equilibration at defined oxygen partial pressure and temperature, spatially resolved read-out of the resulting non-stoichiometry, calibration against chemical-capacitance or chemical-expansion anchors [102, 103]) yields the reduction enthalpy per composition, co-located with the covalency descriptor; radiation-dose series and bulk-sensitive fluorescence yield are mandatory controls.</w:t>
      </w:r>
    </w:p>
    <w:p w14:paraId="38C17191" w14:textId="77777777" w:rsidR="00B93F12" w:rsidRDefault="00B93F1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702EA269" w14:textId="77777777" w:rsidR="00B93F12" w:rsidRDefault="00B93F1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 the family screening pre-qualifies YBa2Cu3O7-δ (Au-contact switching established [90]) and Ce1-xGdxO2-δ (Pt/Pt crossbar platform [14]) as candidates spanning two further structure classes – quantitative prediction, synthesis and test.</w:t>
      </w:r>
    </w:p>
    <w:p w14:paraId="48199513" w14:textId="77777777" w:rsidR="00B93F12" w:rsidRDefault="00B93F1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6ACFA940"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78C85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CAB055A"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F933A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E402F9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F6D9EA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B6D13E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2A0B86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40D6E94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9CE7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7A3A41"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198A3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D7EE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EEC08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5D865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6819B" w14:textId="77777777" w:rsidR="00B93F12" w:rsidRDefault="00B93F12">
            <w:pPr>
              <w:spacing w:before="120" w:after="200"/>
              <w:jc w:val="center"/>
              <w:rPr>
                <w:rFonts w:ascii="Arial" w:eastAsia="Times New Roman" w:hAnsi="Arial" w:cs="Arial"/>
                <w:sz w:val="19"/>
                <w:szCs w:val="19"/>
              </w:rPr>
            </w:pPr>
          </w:p>
        </w:tc>
      </w:tr>
      <w:tr w:rsidR="00000000" w14:paraId="02CC3C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C03E0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19833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CABC0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D22F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53AC0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AA4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EC298" w14:textId="77777777" w:rsidR="00B93F12" w:rsidRDefault="00B93F12">
            <w:pPr>
              <w:spacing w:before="120" w:after="200"/>
              <w:jc w:val="center"/>
              <w:rPr>
                <w:rFonts w:ascii="Arial" w:eastAsia="Times New Roman" w:hAnsi="Arial" w:cs="Arial"/>
                <w:sz w:val="19"/>
                <w:szCs w:val="19"/>
              </w:rPr>
            </w:pPr>
          </w:p>
        </w:tc>
      </w:tr>
      <w:tr w:rsidR="00000000" w14:paraId="33F7999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3BC64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33C3C8"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EA9C9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6D50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83F6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94E048"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6CF4CA"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05A28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CAFB4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16EE6B"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C562F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72DE1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E3CC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F12F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F636D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74F257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5672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428CD"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FE1930" w14:textId="77777777" w:rsidR="00B93F12" w:rsidRDefault="00B93F1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1922A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541154"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298C1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15B7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225D57BE" w14:textId="77777777" w:rsidR="00B93F12" w:rsidRDefault="00B93F1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1E53CE8F"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FBE41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76B59C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C5FB29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278C1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280D28"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8D7CC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F83E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3C74D7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D902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4445A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31BEE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104D60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78EC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0C3EE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D6BE3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0A3014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8BA5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54792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B934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5AE8CA6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8D945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16EA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7FDA5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56FE62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A96FC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317B5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55508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7824B298" w14:textId="77777777" w:rsidR="00B93F12" w:rsidRDefault="00B93F12">
      <w:pPr>
        <w:pStyle w:val="Heading2"/>
        <w:rPr>
          <w:rFonts w:ascii="Arial" w:eastAsia="Times New Roman" w:hAnsi="Arial" w:cs="Arial"/>
        </w:rPr>
      </w:pPr>
      <w:r>
        <w:rPr>
          <w:rFonts w:ascii="Arial" w:eastAsia="Times New Roman" w:hAnsi="Arial" w:cs="Arial"/>
        </w:rPr>
        <w:t>2.6  Handling of research data</w:t>
      </w:r>
    </w:p>
    <w:p w14:paraId="32E47565" w14:textId="77777777" w:rsidR="00B93F12" w:rsidRDefault="00B93F1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0178670E" w14:textId="77777777" w:rsidR="00B93F12" w:rsidRDefault="00B93F12">
      <w:pPr>
        <w:pStyle w:val="Heading2"/>
        <w:rPr>
          <w:rFonts w:ascii="Arial" w:eastAsia="Times New Roman" w:hAnsi="Arial" w:cs="Arial"/>
        </w:rPr>
      </w:pPr>
      <w:r>
        <w:rPr>
          <w:rFonts w:ascii="Arial" w:eastAsia="Times New Roman" w:hAnsi="Arial" w:cs="Arial"/>
        </w:rPr>
        <w:t>2.7  Relevance and exploitation perspective</w:t>
      </w:r>
    </w:p>
    <w:p w14:paraId="031642E1" w14:textId="77777777" w:rsidR="00B93F12" w:rsidRDefault="00B93F1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08106D76" w14:textId="77777777" w:rsidR="00B93F12" w:rsidRDefault="00B93F12">
      <w:pPr>
        <w:pStyle w:val="Heading1"/>
        <w:pageBreakBefore/>
        <w:rPr>
          <w:rFonts w:ascii="Arial" w:eastAsia="Times New Roman" w:hAnsi="Arial" w:cs="Arial"/>
        </w:rPr>
      </w:pPr>
      <w:r>
        <w:rPr>
          <w:rFonts w:ascii="Arial" w:eastAsia="Times New Roman" w:hAnsi="Arial" w:cs="Arial"/>
        </w:rPr>
        <w:t>3  Bibliography</w:t>
      </w:r>
    </w:p>
    <w:p w14:paraId="7943FDEC" w14:textId="77777777" w:rsidR="00B93F12" w:rsidRDefault="00B93F12">
      <w:pPr>
        <w:spacing w:after="60"/>
        <w:ind w:hanging="480"/>
        <w:divId w:val="336543102"/>
        <w:rPr>
          <w:rFonts w:ascii="Arial" w:hAnsi="Arial" w:cs="Arial"/>
          <w:sz w:val="18"/>
          <w:szCs w:val="18"/>
        </w:rPr>
      </w:pPr>
      <w:r>
        <w:rPr>
          <w:rFonts w:ascii="Arial" w:hAnsi="Arial" w:cs="Arial"/>
          <w:sz w:val="18"/>
          <w:szCs w:val="18"/>
        </w:rPr>
        <w:t>[1] R. Waser, M. Aono, Nanoionics-based resistive switching memories. Nature Materials 6, 833–840 (2007).</w:t>
      </w:r>
    </w:p>
    <w:p w14:paraId="4071452F" w14:textId="77777777" w:rsidR="00B93F12" w:rsidRDefault="00B93F12">
      <w:pPr>
        <w:spacing w:after="60"/>
        <w:ind w:hanging="480"/>
        <w:divId w:val="336543102"/>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547805F2" w14:textId="77777777" w:rsidR="00B93F12" w:rsidRDefault="00B93F12">
      <w:pPr>
        <w:spacing w:after="60"/>
        <w:ind w:hanging="480"/>
        <w:divId w:val="336543102"/>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1B890802" w14:textId="77777777" w:rsidR="00B93F12" w:rsidRDefault="00B93F12">
      <w:pPr>
        <w:spacing w:after="60"/>
        <w:ind w:hanging="480"/>
        <w:divId w:val="336543102"/>
        <w:rPr>
          <w:rFonts w:ascii="Arial" w:hAnsi="Arial" w:cs="Arial"/>
          <w:sz w:val="18"/>
          <w:szCs w:val="18"/>
        </w:rPr>
      </w:pPr>
      <w:r>
        <w:rPr>
          <w:rFonts w:ascii="Arial" w:hAnsi="Arial" w:cs="Arial"/>
          <w:sz w:val="18"/>
          <w:szCs w:val="18"/>
        </w:rPr>
        <w:t>[4] A. Sawa, Resistive switching in transition metal oxides. Materials Today 11(6), 28–36 (2008).</w:t>
      </w:r>
    </w:p>
    <w:p w14:paraId="7304E833" w14:textId="77777777" w:rsidR="00B93F12" w:rsidRDefault="00B93F12">
      <w:pPr>
        <w:spacing w:after="60"/>
        <w:ind w:hanging="480"/>
        <w:divId w:val="336543102"/>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1E4CE491" w14:textId="77777777" w:rsidR="00B93F12" w:rsidRDefault="00B93F12">
      <w:pPr>
        <w:spacing w:after="60"/>
        <w:ind w:hanging="480"/>
        <w:divId w:val="336543102"/>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06E941DB" w14:textId="77777777" w:rsidR="00B93F12" w:rsidRDefault="00B93F12">
      <w:pPr>
        <w:spacing w:after="60"/>
        <w:ind w:hanging="480"/>
        <w:divId w:val="336543102"/>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3D90245C" w14:textId="77777777" w:rsidR="00B93F12" w:rsidRDefault="00B93F12">
      <w:pPr>
        <w:spacing w:after="60"/>
        <w:ind w:hanging="480"/>
        <w:divId w:val="336543102"/>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5DCFA0EE" w14:textId="77777777" w:rsidR="00B93F12" w:rsidRDefault="00B93F12">
      <w:pPr>
        <w:spacing w:after="60"/>
        <w:ind w:hanging="480"/>
        <w:divId w:val="336543102"/>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015DBD8E" w14:textId="77777777" w:rsidR="00B93F12" w:rsidRDefault="00B93F12">
      <w:pPr>
        <w:spacing w:after="60"/>
        <w:ind w:hanging="480"/>
        <w:divId w:val="336543102"/>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043DA411" w14:textId="77777777" w:rsidR="00B93F12" w:rsidRDefault="00B93F12">
      <w:pPr>
        <w:spacing w:after="60"/>
        <w:ind w:hanging="480"/>
        <w:divId w:val="336543102"/>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4BCBCB7C" w14:textId="77777777" w:rsidR="00B93F12" w:rsidRDefault="00B93F12">
      <w:pPr>
        <w:spacing w:after="60"/>
        <w:ind w:hanging="480"/>
        <w:divId w:val="336543102"/>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644A38EE" w14:textId="77777777" w:rsidR="00B93F12" w:rsidRDefault="00B93F12">
      <w:pPr>
        <w:spacing w:after="60"/>
        <w:ind w:hanging="480"/>
        <w:divId w:val="336543102"/>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0E76FE19" w14:textId="77777777" w:rsidR="00B93F12" w:rsidRDefault="00B93F12">
      <w:pPr>
        <w:spacing w:after="60"/>
        <w:ind w:hanging="480"/>
        <w:divId w:val="336543102"/>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05FEAD53" w14:textId="77777777" w:rsidR="00B93F12" w:rsidRDefault="00B93F12">
      <w:pPr>
        <w:spacing w:after="60"/>
        <w:ind w:hanging="480"/>
        <w:divId w:val="336543102"/>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164BEB06" w14:textId="77777777" w:rsidR="00B93F12" w:rsidRDefault="00B93F12">
      <w:pPr>
        <w:spacing w:after="60"/>
        <w:ind w:hanging="480"/>
        <w:divId w:val="336543102"/>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7983FC8C" w14:textId="77777777" w:rsidR="00B93F12" w:rsidRDefault="00B93F12">
      <w:pPr>
        <w:spacing w:after="60"/>
        <w:ind w:hanging="480"/>
        <w:divId w:val="336543102"/>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577C8FFA" w14:textId="77777777" w:rsidR="00B93F12" w:rsidRDefault="00B93F12">
      <w:pPr>
        <w:spacing w:after="60"/>
        <w:ind w:hanging="480"/>
        <w:divId w:val="336543102"/>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60AC533E" w14:textId="77777777" w:rsidR="00B93F12" w:rsidRDefault="00B93F12">
      <w:pPr>
        <w:spacing w:after="60"/>
        <w:ind w:hanging="480"/>
        <w:divId w:val="336543102"/>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4E02612B" w14:textId="77777777" w:rsidR="00B93F12" w:rsidRDefault="00B93F12">
      <w:pPr>
        <w:spacing w:after="60"/>
        <w:ind w:hanging="480"/>
        <w:divId w:val="336543102"/>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4C567AD3" w14:textId="77777777" w:rsidR="00B93F12" w:rsidRDefault="00B93F12">
      <w:pPr>
        <w:spacing w:after="60"/>
        <w:ind w:hanging="480"/>
        <w:divId w:val="336543102"/>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2CB2C014" w14:textId="77777777" w:rsidR="00B93F12" w:rsidRDefault="00B93F12">
      <w:pPr>
        <w:spacing w:after="60"/>
        <w:ind w:hanging="480"/>
        <w:divId w:val="336543102"/>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607F876B" w14:textId="77777777" w:rsidR="00B93F12" w:rsidRDefault="00B93F12">
      <w:pPr>
        <w:spacing w:after="60"/>
        <w:ind w:hanging="480"/>
        <w:divId w:val="336543102"/>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177B1101"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674813E0" w14:textId="77777777" w:rsidR="00B93F12" w:rsidRDefault="00B93F12">
      <w:pPr>
        <w:spacing w:after="60"/>
        <w:ind w:hanging="480"/>
        <w:divId w:val="336543102"/>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532F6146" w14:textId="77777777" w:rsidR="00B93F12" w:rsidRDefault="00B93F12">
      <w:pPr>
        <w:spacing w:after="60"/>
        <w:ind w:hanging="480"/>
        <w:divId w:val="336543102"/>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5BB39FA8" w14:textId="77777777" w:rsidR="00B93F12" w:rsidRDefault="00B93F12">
      <w:pPr>
        <w:spacing w:after="60"/>
        <w:ind w:hanging="480"/>
        <w:divId w:val="336543102"/>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1500D915" w14:textId="77777777" w:rsidR="00B93F12" w:rsidRDefault="00B93F12">
      <w:pPr>
        <w:spacing w:after="60"/>
        <w:ind w:hanging="480"/>
        <w:divId w:val="336543102"/>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5C94C76E" w14:textId="77777777" w:rsidR="00B93F12" w:rsidRDefault="00B93F12">
      <w:pPr>
        <w:spacing w:after="60"/>
        <w:ind w:hanging="480"/>
        <w:divId w:val="336543102"/>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52B3A7C4" w14:textId="77777777" w:rsidR="00B93F12" w:rsidRDefault="00B93F12">
      <w:pPr>
        <w:spacing w:after="60"/>
        <w:ind w:hanging="480"/>
        <w:divId w:val="336543102"/>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5137FE1E" w14:textId="77777777" w:rsidR="00B93F12" w:rsidRDefault="00B93F12">
      <w:pPr>
        <w:spacing w:after="60"/>
        <w:ind w:hanging="480"/>
        <w:divId w:val="336543102"/>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6C1C9EA9" w14:textId="77777777" w:rsidR="00B93F12" w:rsidRDefault="00B93F12">
      <w:pPr>
        <w:spacing w:after="60"/>
        <w:ind w:hanging="480"/>
        <w:divId w:val="336543102"/>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20FFAA77" w14:textId="77777777" w:rsidR="00B93F12" w:rsidRDefault="00B93F12">
      <w:pPr>
        <w:spacing w:after="60"/>
        <w:ind w:hanging="480"/>
        <w:divId w:val="336543102"/>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B3B4E75" w14:textId="77777777" w:rsidR="00B93F12" w:rsidRDefault="00B93F12">
      <w:pPr>
        <w:spacing w:after="60"/>
        <w:ind w:hanging="480"/>
        <w:divId w:val="336543102"/>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7D3D8CF5" w14:textId="77777777" w:rsidR="00B93F12" w:rsidRDefault="00B93F12">
      <w:pPr>
        <w:spacing w:after="60"/>
        <w:ind w:hanging="480"/>
        <w:divId w:val="336543102"/>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3D558485" w14:textId="77777777" w:rsidR="00B93F12" w:rsidRDefault="00B93F12">
      <w:pPr>
        <w:spacing w:after="60"/>
        <w:ind w:hanging="480"/>
        <w:divId w:val="336543102"/>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4C9C35A" w14:textId="77777777" w:rsidR="00B93F12" w:rsidRDefault="00B93F12">
      <w:pPr>
        <w:spacing w:after="60"/>
        <w:ind w:hanging="480"/>
        <w:divId w:val="336543102"/>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1B580FCA"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1C6285C9" w14:textId="77777777" w:rsidR="00B93F12" w:rsidRDefault="00B93F12">
      <w:pPr>
        <w:spacing w:after="60"/>
        <w:ind w:hanging="480"/>
        <w:divId w:val="336543102"/>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AB33BDA" w14:textId="77777777" w:rsidR="00B93F12" w:rsidRDefault="00B93F12">
      <w:pPr>
        <w:spacing w:after="60"/>
        <w:ind w:hanging="480"/>
        <w:divId w:val="336543102"/>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190BC6C8" w14:textId="77777777" w:rsidR="00B93F12" w:rsidRDefault="00B93F12">
      <w:pPr>
        <w:spacing w:after="60"/>
        <w:ind w:hanging="480"/>
        <w:divId w:val="336543102"/>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73D59D0D" w14:textId="77777777" w:rsidR="00B93F12" w:rsidRDefault="00B93F12">
      <w:pPr>
        <w:spacing w:after="60"/>
        <w:ind w:hanging="480"/>
        <w:divId w:val="336543102"/>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64F6F6FA" w14:textId="77777777" w:rsidR="00B93F12" w:rsidRDefault="00B93F12">
      <w:pPr>
        <w:spacing w:after="60"/>
        <w:ind w:hanging="480"/>
        <w:divId w:val="336543102"/>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716DCD61" w14:textId="77777777" w:rsidR="00B93F12" w:rsidRDefault="00B93F12">
      <w:pPr>
        <w:spacing w:after="60"/>
        <w:ind w:hanging="480"/>
        <w:divId w:val="336543102"/>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1C6CE60C" w14:textId="77777777" w:rsidR="00B93F12" w:rsidRDefault="00B93F12">
      <w:pPr>
        <w:spacing w:after="60"/>
        <w:ind w:hanging="480"/>
        <w:divId w:val="336543102"/>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8C20BBD" w14:textId="77777777" w:rsidR="00B93F12" w:rsidRDefault="00B93F12">
      <w:pPr>
        <w:spacing w:after="60"/>
        <w:ind w:hanging="480"/>
        <w:divId w:val="336543102"/>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7492008" w14:textId="77777777" w:rsidR="00B93F12" w:rsidRDefault="00B93F12">
      <w:pPr>
        <w:spacing w:after="60"/>
        <w:ind w:hanging="480"/>
        <w:divId w:val="336543102"/>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B5ED2F5" w14:textId="77777777" w:rsidR="00B93F12" w:rsidRDefault="00B93F12">
      <w:pPr>
        <w:spacing w:after="60"/>
        <w:ind w:hanging="480"/>
        <w:divId w:val="336543102"/>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7FCFEB19" w14:textId="77777777" w:rsidR="00B93F12" w:rsidRDefault="00B93F12">
      <w:pPr>
        <w:spacing w:after="60"/>
        <w:ind w:hanging="480"/>
        <w:divId w:val="336543102"/>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667B2613" w14:textId="77777777" w:rsidR="00B93F12" w:rsidRDefault="00B93F12">
      <w:pPr>
        <w:spacing w:after="60"/>
        <w:ind w:hanging="480"/>
        <w:divId w:val="336543102"/>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1D709AD2" w14:textId="77777777" w:rsidR="00B93F12" w:rsidRDefault="00B93F12">
      <w:pPr>
        <w:spacing w:after="60"/>
        <w:ind w:hanging="480"/>
        <w:divId w:val="336543102"/>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03F01DB2" w14:textId="77777777" w:rsidR="00B93F12" w:rsidRDefault="00B93F12">
      <w:pPr>
        <w:spacing w:after="60"/>
        <w:ind w:hanging="480"/>
        <w:divId w:val="336543102"/>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2DAFDA01" w14:textId="77777777" w:rsidR="00B93F12" w:rsidRDefault="00B93F12">
      <w:pPr>
        <w:spacing w:after="60"/>
        <w:ind w:hanging="480"/>
        <w:divId w:val="336543102"/>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4E4B35E0" w14:textId="77777777" w:rsidR="00B93F12" w:rsidRDefault="00B93F12">
      <w:pPr>
        <w:spacing w:after="60"/>
        <w:ind w:hanging="480"/>
        <w:divId w:val="336543102"/>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365EA03A" w14:textId="77777777" w:rsidR="00B93F12" w:rsidRDefault="00B93F12">
      <w:pPr>
        <w:spacing w:after="60"/>
        <w:ind w:hanging="480"/>
        <w:divId w:val="336543102"/>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6735A058" w14:textId="77777777" w:rsidR="00B93F12" w:rsidRDefault="00B93F12">
      <w:pPr>
        <w:spacing w:after="60"/>
        <w:ind w:hanging="480"/>
        <w:divId w:val="336543102"/>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0F55308E" w14:textId="77777777" w:rsidR="00B93F12" w:rsidRDefault="00B93F12">
      <w:pPr>
        <w:spacing w:after="60"/>
        <w:ind w:hanging="480"/>
        <w:divId w:val="336543102"/>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5234703B" w14:textId="77777777" w:rsidR="00B93F12" w:rsidRDefault="00B93F12">
      <w:pPr>
        <w:spacing w:after="60"/>
        <w:ind w:hanging="480"/>
        <w:divId w:val="336543102"/>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40C26D90" w14:textId="77777777" w:rsidR="00B93F12" w:rsidRDefault="00B93F12">
      <w:pPr>
        <w:spacing w:after="60"/>
        <w:ind w:hanging="480"/>
        <w:divId w:val="336543102"/>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7DF1F6E3" w14:textId="77777777" w:rsidR="00B93F12" w:rsidRDefault="00B93F12">
      <w:pPr>
        <w:spacing w:after="60"/>
        <w:ind w:hanging="480"/>
        <w:divId w:val="336543102"/>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469970E7" w14:textId="77777777" w:rsidR="00B93F12" w:rsidRDefault="00B93F12">
      <w:pPr>
        <w:spacing w:after="60"/>
        <w:ind w:hanging="480"/>
        <w:divId w:val="336543102"/>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078D334D" w14:textId="77777777" w:rsidR="00B93F12" w:rsidRDefault="00B93F12">
      <w:pPr>
        <w:spacing w:after="60"/>
        <w:ind w:hanging="480"/>
        <w:divId w:val="336543102"/>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4EF5BB3B" w14:textId="77777777" w:rsidR="00B93F12" w:rsidRDefault="00B93F12">
      <w:pPr>
        <w:spacing w:after="60"/>
        <w:ind w:hanging="480"/>
        <w:divId w:val="336543102"/>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441CB15B" w14:textId="77777777" w:rsidR="00B93F12" w:rsidRDefault="00B93F12">
      <w:pPr>
        <w:spacing w:after="60"/>
        <w:ind w:hanging="480"/>
        <w:divId w:val="336543102"/>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1BCCD19E" w14:textId="77777777" w:rsidR="00B93F12" w:rsidRDefault="00B93F12">
      <w:pPr>
        <w:spacing w:after="60"/>
        <w:ind w:hanging="480"/>
        <w:divId w:val="336543102"/>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1B9260E9" w14:textId="77777777" w:rsidR="00B93F12" w:rsidRDefault="00B93F12">
      <w:pPr>
        <w:spacing w:after="60"/>
        <w:ind w:hanging="480"/>
        <w:divId w:val="336543102"/>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599C7B32" w14:textId="77777777" w:rsidR="00B93F12" w:rsidRDefault="00B93F12">
      <w:pPr>
        <w:spacing w:after="60"/>
        <w:ind w:hanging="480"/>
        <w:divId w:val="336543102"/>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32F21FA" w14:textId="77777777" w:rsidR="00B93F12" w:rsidRDefault="00B93F12">
      <w:pPr>
        <w:spacing w:after="60"/>
        <w:ind w:hanging="480"/>
        <w:divId w:val="336543102"/>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2237547B" w14:textId="77777777" w:rsidR="00B93F12" w:rsidRDefault="00B93F12">
      <w:pPr>
        <w:spacing w:after="60"/>
        <w:ind w:hanging="480"/>
        <w:divId w:val="336543102"/>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3FB0B24C" w14:textId="77777777" w:rsidR="00B93F12" w:rsidRDefault="00B93F12">
      <w:pPr>
        <w:spacing w:after="60"/>
        <w:ind w:hanging="480"/>
        <w:divId w:val="336543102"/>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78B4EF9D" w14:textId="77777777" w:rsidR="00B93F12" w:rsidRDefault="00B93F12">
      <w:pPr>
        <w:spacing w:after="60"/>
        <w:ind w:hanging="480"/>
        <w:divId w:val="336543102"/>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50594A5A" w14:textId="77777777" w:rsidR="00B93F12" w:rsidRDefault="00B93F12">
      <w:pPr>
        <w:spacing w:after="60"/>
        <w:ind w:hanging="480"/>
        <w:divId w:val="336543102"/>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0C864354" w14:textId="77777777" w:rsidR="00B93F12" w:rsidRDefault="00B93F12">
      <w:pPr>
        <w:spacing w:after="60"/>
        <w:ind w:hanging="480"/>
        <w:divId w:val="336543102"/>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15D19ED2" w14:textId="77777777" w:rsidR="00B93F12" w:rsidRDefault="00B93F12">
      <w:pPr>
        <w:spacing w:after="60"/>
        <w:ind w:hanging="480"/>
        <w:divId w:val="336543102"/>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25C6A5B3" w14:textId="77777777" w:rsidR="00B93F12" w:rsidRDefault="00B93F12">
      <w:pPr>
        <w:spacing w:after="60"/>
        <w:ind w:hanging="480"/>
        <w:divId w:val="336543102"/>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50CF7B79" w14:textId="77777777" w:rsidR="00B93F12" w:rsidRDefault="00B93F12">
      <w:pPr>
        <w:spacing w:after="60"/>
        <w:ind w:hanging="480"/>
        <w:divId w:val="336543102"/>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42C0BAAE" w14:textId="77777777" w:rsidR="00B93F12" w:rsidRDefault="00B93F12">
      <w:pPr>
        <w:spacing w:after="60"/>
        <w:ind w:hanging="480"/>
        <w:divId w:val="336543102"/>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6C68A5C" w14:textId="77777777" w:rsidR="00B93F12" w:rsidRDefault="00B93F12">
      <w:pPr>
        <w:spacing w:after="60"/>
        <w:ind w:hanging="480"/>
        <w:divId w:val="336543102"/>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39B6F3DE" w14:textId="77777777" w:rsidR="00B93F12" w:rsidRDefault="00B93F12">
      <w:pPr>
        <w:spacing w:after="60"/>
        <w:ind w:hanging="480"/>
        <w:divId w:val="336543102"/>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AB65CA6" w14:textId="77777777" w:rsidR="00B93F12" w:rsidRDefault="00B93F12">
      <w:pPr>
        <w:spacing w:after="60"/>
        <w:ind w:hanging="480"/>
        <w:divId w:val="336543102"/>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336543102"/>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336543102"/>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336543102"/>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336543102"/>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336543102"/>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336543102"/>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336543102"/>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336543102"/>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pPr>
        <w:spacing w:after="60"/>
        <w:ind w:hanging="480"/>
        <w:divId w:val="336543102"/>
        <w:rPr>
          <w:rFonts w:ascii="Arial" w:hAnsi="Arial" w:cs="Arial"/>
          <w:sz w:val="18"/>
          <w:szCs w:val="18"/>
        </w:rPr>
      </w:pPr>
      <w:r>
        <w:rPr>
          <w:rFonts w:ascii="Arial" w:hAnsi="Arial" w:cs="Arial"/>
          <w:sz w:val="18"/>
          <w:szCs w:val="18"/>
        </w:rPr>
        <w:t xml:space="preserve">[89] T. Kramer, M. Scherff, D. Mierwaldt, J. Hoffmann, C. Jooss, Role of oxygen vacancies for resistive switching in noble metal sandwiched Pr0.67Ca0.33MnO3-δ. Applied Physics Letters 110, 243502 (2017).</w:t>
      </w:r>
    </w:p>
    <w:p>
      <w:pPr>
        <w:spacing w:after="60"/>
        <w:ind w:hanging="480"/>
        <w:divId w:val="336543102"/>
        <w:rPr>
          <w:rFonts w:ascii="Arial" w:hAnsi="Arial" w:cs="Arial"/>
          <w:sz w:val="18"/>
          <w:szCs w:val="18"/>
        </w:rPr>
      </w:pPr>
      <w:r>
        <w:rPr>
          <w:rFonts w:ascii="Arial" w:hAnsi="Arial" w:cs="Arial"/>
          <w:sz w:val="18"/>
          <w:szCs w:val="18"/>
        </w:rPr>
        <w:t xml:space="preserve">[90] C. Acha, M. J. Rozenberg, Non-volatile resistive switching in the dielectric superconductor YBa2Cu3O7-δ. Journal of Physics: Condensed Matter 21, 045702 (2009).</w:t>
      </w:r>
    </w:p>
    <w:p>
      <w:pPr>
        <w:spacing w:after="60"/>
        <w:ind w:hanging="480"/>
        <w:divId w:val="336543102"/>
        <w:rPr>
          <w:rFonts w:ascii="Arial" w:hAnsi="Arial" w:cs="Arial"/>
          <w:sz w:val="18"/>
          <w:szCs w:val="18"/>
        </w:rPr>
      </w:pPr>
      <w:r>
        <w:rPr>
          <w:rFonts w:ascii="Arial" w:hAnsi="Arial" w:cs="Arial"/>
          <w:sz w:val="18"/>
          <w:szCs w:val="18"/>
        </w:rPr>
        <w:t xml:space="preserve">[91] A. Fujimori, F. Minami, Valence-band photoemission and optical absorption in nickel compounds. Physical Review B 30, 957–971 (1984).</w:t>
      </w:r>
    </w:p>
    <w:p>
      <w:pPr>
        <w:spacing w:after="60"/>
        <w:ind w:hanging="480"/>
        <w:divId w:val="336543102"/>
        <w:rPr>
          <w:rFonts w:ascii="Arial" w:hAnsi="Arial" w:cs="Arial"/>
          <w:sz w:val="18"/>
          <w:szCs w:val="18"/>
        </w:rPr>
      </w:pPr>
      <w:r>
        <w:rPr>
          <w:rFonts w:ascii="Arial" w:hAnsi="Arial" w:cs="Arial"/>
          <w:sz w:val="18"/>
          <w:szCs w:val="18"/>
        </w:rPr>
        <w:t xml:space="preserve">[92] A. E. Bocquet, T. Mizokawa, T. Saitoh, H. Namatame, A. Fujimori, Electronic structure of 3d-transition-metal compounds by analysis of the 2p core-level photoemission spectra. Physical Review B 46, 3771–3784 (1992).</w:t>
      </w:r>
    </w:p>
    <w:p>
      <w:pPr>
        <w:spacing w:after="60"/>
        <w:ind w:hanging="480"/>
        <w:divId w:val="336543102"/>
        <w:rPr>
          <w:rFonts w:ascii="Arial" w:hAnsi="Arial" w:cs="Arial"/>
          <w:sz w:val="18"/>
          <w:szCs w:val="18"/>
        </w:rPr>
      </w:pPr>
      <w:r>
        <w:rPr>
          <w:rFonts w:ascii="Arial" w:hAnsi="Arial" w:cs="Arial"/>
          <w:sz w:val="18"/>
          <w:szCs w:val="18"/>
        </w:rPr>
        <w:t xml:space="preserve">[93] T. Saitoh, A. E. Bocquet, T. Mizokawa, A. Fujimori, Systematic variation of the electronic structure of 3d transition-metal compounds. Physical Review B 52, 7934–7938 (1995).</w:t>
      </w:r>
    </w:p>
    <w:p>
      <w:pPr>
        <w:spacing w:after="60"/>
        <w:ind w:hanging="480"/>
        <w:divId w:val="336543102"/>
        <w:rPr>
          <w:rFonts w:ascii="Arial" w:hAnsi="Arial" w:cs="Arial"/>
          <w:sz w:val="18"/>
          <w:szCs w:val="18"/>
        </w:rPr>
      </w:pPr>
      <w:r>
        <w:rPr>
          <w:rFonts w:ascii="Arial" w:hAnsi="Arial" w:cs="Arial"/>
          <w:sz w:val="18"/>
          <w:szCs w:val="18"/>
        </w:rPr>
        <w:t xml:space="preserve">[94] S. Nimkar, D. D. Sarma, H. R. Krishnamurthy, S. Ramasesha, Mean-field results of the multiple-band extended Hubbard model for the square-planar CuO2 lattice. Physical Review B 48, 7355–7363 (1993).</w:t>
      </w:r>
    </w:p>
    <w:p>
      <w:pPr>
        <w:spacing w:after="60"/>
        <w:ind w:hanging="480"/>
        <w:divId w:val="336543102"/>
        <w:rPr>
          <w:rFonts w:ascii="Arial" w:hAnsi="Arial" w:cs="Arial"/>
          <w:sz w:val="18"/>
          <w:szCs w:val="18"/>
        </w:rPr>
      </w:pPr>
      <w:r>
        <w:rPr>
          <w:rFonts w:ascii="Arial" w:hAnsi="Arial" w:cs="Arial"/>
          <w:sz w:val="18"/>
          <w:szCs w:val="18"/>
        </w:rPr>
        <w:t xml:space="preserve">[95] F. M. F. de Groot, X-ray absorption and dichroism of transition metals and their compounds. Journal of Electron Spectroscopy and Related Phenomena 67, 529–622 (1994).</w:t>
      </w:r>
    </w:p>
    <w:p>
      <w:pPr>
        <w:spacing w:after="60"/>
        <w:ind w:hanging="480"/>
        <w:divId w:val="336543102"/>
        <w:rPr>
          <w:rFonts w:ascii="Arial" w:hAnsi="Arial" w:cs="Arial"/>
          <w:sz w:val="18"/>
          <w:szCs w:val="18"/>
        </w:rPr>
      </w:pPr>
      <w:r>
        <w:rPr>
          <w:rFonts w:ascii="Arial" w:hAnsi="Arial" w:cs="Arial"/>
          <w:sz w:val="18"/>
          <w:szCs w:val="18"/>
        </w:rPr>
        <w:t xml:space="preserve">[96]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60"/>
        <w:ind w:hanging="480"/>
        <w:divId w:val="336543102"/>
        <w:rPr>
          <w:rFonts w:ascii="Arial" w:hAnsi="Arial" w:cs="Arial"/>
          <w:sz w:val="18"/>
          <w:szCs w:val="18"/>
        </w:rPr>
      </w:pPr>
      <w:r>
        <w:rPr>
          <w:rFonts w:ascii="Arial" w:hAnsi="Arial" w:cs="Arial"/>
          <w:sz w:val="18"/>
          <w:szCs w:val="18"/>
        </w:rPr>
        <w:t xml:space="preserve">[97] M. Lorenz, H. Hochmuth, H. von Wenckstern, M. Grundmann, Flexible hardware concept of pulsed laser deposition for large areas and combinatorial composition spreads. Review of Scientific Instruments 94, 083905 (2023).</w:t>
      </w:r>
    </w:p>
    <w:p>
      <w:pPr>
        <w:spacing w:after="60"/>
        <w:ind w:hanging="480"/>
        <w:divId w:val="336543102"/>
        <w:rPr>
          <w:rFonts w:ascii="Arial" w:hAnsi="Arial" w:cs="Arial"/>
          <w:sz w:val="18"/>
          <w:szCs w:val="18"/>
        </w:rPr>
      </w:pPr>
      <w:r>
        <w:rPr>
          <w:rFonts w:ascii="Arial" w:hAnsi="Arial" w:cs="Arial"/>
          <w:sz w:val="18"/>
          <w:szCs w:val="18"/>
        </w:rPr>
        <w:t xml:space="preserve">[98] A. Venimadhav, K. A. Yates, M. G. Blamire, Scanning Raman Spectroscopy for Characterizing Compositionally Spread Films. Journal of Combinatorial Chemistry 7, 85-89 (2005).</w:t>
      </w:r>
    </w:p>
    <w:p>
      <w:pPr>
        <w:spacing w:after="60"/>
        <w:ind w:hanging="480"/>
        <w:divId w:val="336543102"/>
        <w:rPr>
          <w:rFonts w:ascii="Arial" w:hAnsi="Arial" w:cs="Arial"/>
          <w:sz w:val="18"/>
          <w:szCs w:val="18"/>
        </w:rPr>
      </w:pPr>
      <w:r>
        <w:rPr>
          <w:rFonts w:ascii="Arial" w:hAnsi="Arial" w:cs="Arial"/>
          <w:sz w:val="18"/>
          <w:szCs w:val="18"/>
        </w:rPr>
        <w:t xml:space="preserve">[99]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60"/>
        <w:ind w:hanging="480"/>
        <w:divId w:val="336543102"/>
        <w:rPr>
          <w:rFonts w:ascii="Arial" w:hAnsi="Arial" w:cs="Arial"/>
          <w:sz w:val="18"/>
          <w:szCs w:val="18"/>
        </w:rPr>
      </w:pPr>
      <w:r>
        <w:rPr>
          <w:rFonts w:ascii="Arial" w:hAnsi="Arial" w:cs="Arial"/>
          <w:sz w:val="18"/>
          <w:szCs w:val="18"/>
        </w:rPr>
        <w:t xml:space="preserve">[100] D. C. Grinter, P. Ferrer, F. Venturini, M. A. van Spronsen, A. I. Large et al., VerSoX B07-B: a high-throughput XPS and ambient pressure NEXAFS beamline at Diamond Light Source. Journal of Synchrotron Radiation 31, 578-589 (2024).</w:t>
      </w:r>
    </w:p>
    <w:p>
      <w:pPr>
        <w:spacing w:after="60"/>
        <w:ind w:hanging="480"/>
        <w:divId w:val="336543102"/>
        <w:rPr>
          <w:rFonts w:ascii="Arial" w:hAnsi="Arial" w:cs="Arial"/>
          <w:sz w:val="18"/>
          <w:szCs w:val="18"/>
        </w:rPr>
      </w:pPr>
      <w:r>
        <w:rPr>
          <w:rFonts w:ascii="Arial" w:hAnsi="Arial" w:cs="Arial"/>
          <w:sz w:val="18"/>
          <w:szCs w:val="18"/>
        </w:rPr>
        <w:t xml:space="preserve">[101] M. Tang, L. Dai, M. Cheng, Y. Zhang, Y. Wang et al., High-Throughput Screening Thickness-Dependent Resistive Switching in SrTiO3 Thin Films for Robust Electronic Synapse. Advanced Functional Materials 33, 2213874 (2023).</w:t>
      </w:r>
    </w:p>
    <w:p>
      <w:pPr>
        <w:spacing w:after="60"/>
        <w:ind w:hanging="480"/>
        <w:divId w:val="336543102"/>
        <w:rPr>
          <w:rFonts w:ascii="Arial" w:hAnsi="Arial" w:cs="Arial"/>
          <w:sz w:val="18"/>
          <w:szCs w:val="18"/>
        </w:rPr>
      </w:pPr>
      <w:r>
        <w:rPr>
          <w:rFonts w:ascii="Arial" w:hAnsi="Arial" w:cs="Arial"/>
          <w:sz w:val="18"/>
          <w:szCs w:val="18"/>
        </w:rPr>
        <w:t xml:space="preserve">[102] W. C. Chueh, S. M. Haile, Electrochemical studies of capacitance in cerium oxide thin films and its relationship to anionic and electronic defect densities. Physical Chemistry Chemical Physics 11, 8144-8148 (2009).</w:t>
      </w:r>
    </w:p>
    <w:p>
      <w:pPr>
        <w:spacing w:after="60"/>
        <w:ind w:hanging="480"/>
        <w:divId w:val="336543102"/>
        <w:rPr>
          <w:rFonts w:ascii="Arial" w:hAnsi="Arial" w:cs="Arial"/>
          <w:sz w:val="18"/>
          <w:szCs w:val="18"/>
        </w:rPr>
      </w:pPr>
      <w:r>
        <w:rPr>
          <w:rFonts w:ascii="Arial" w:hAnsi="Arial" w:cs="Arial"/>
          <w:sz w:val="18"/>
          <w:szCs w:val="18"/>
        </w:rPr>
        <w:t xml:space="preserve">[103] A. Schmid, G. M. Rupp, J. Fleig, Voltage and partial pressure dependent defect chemistry in (La,Sr)FeO3-d thin films investigated by chemical capacitance measurements. Physical Chemistry Chemical Physics 20, 12016-12026 (2018).</w:t>
      </w:r>
    </w:p>
    <w:p>
      <w:pPr>
        <w:spacing w:after="60"/>
        <w:ind w:hanging="480"/>
        <w:divId w:val="336543102"/>
        <w:rPr>
          <w:rFonts w:ascii="Arial" w:hAnsi="Arial" w:cs="Arial"/>
          <w:sz w:val="18"/>
          <w:szCs w:val="18"/>
        </w:rPr>
      </w:pPr>
      <w:r>
        <w:rPr>
          <w:rFonts w:ascii="Arial" w:hAnsi="Arial" w:cs="Arial"/>
          <w:sz w:val="18"/>
          <w:szCs w:val="18"/>
        </w:rPr>
        <w:t xml:space="preserve">[104] J. J. Kim, S. R. Bishop, N. J. Thompson, H. L. Tuller, Investigation of Nonstoichiometry in Oxide Thin Films by Simultaneous in Situ Optical Absorption and Chemical Capacitance Measurements: Pr-Doped Ceria, a Case Study. Chemistry of Materials 26, 1374-1379 (2014).</w:t>
      </w:r>
    </w:p>
    <w:p w14:paraId="010D0D59" w14:textId="77777777" w:rsidR="00B93F12" w:rsidRDefault="00B93F12">
      <w:pPr>
        <w:pStyle w:val="Heading1"/>
        <w:pageBreakBefore/>
        <w:rPr>
          <w:rFonts w:ascii="Arial" w:eastAsia="Times New Roman" w:hAnsi="Arial" w:cs="Arial"/>
        </w:rPr>
      </w:pPr>
      <w:r>
        <w:rPr>
          <w:rFonts w:ascii="Arial" w:eastAsia="Times New Roman" w:hAnsi="Arial" w:cs="Arial"/>
        </w:rPr>
        <w:t>4  Requested Modules and Funds</w:t>
      </w:r>
    </w:p>
    <w:p w14:paraId="6CC5B5EB" w14:textId="77777777" w:rsidR="00B93F12" w:rsidRDefault="00B93F12">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77E0E71D" w14:textId="77777777" w:rsidR="00B93F12" w:rsidRDefault="00B93F1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0163F194"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0F3AC0"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54D8AE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D78243"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AD07D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1302E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8A91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376625"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56A02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4B40E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05A8F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3118A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6E4506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5AA7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68A67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6EEE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C825A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595CA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75592E9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1C27A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2A11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E418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55A75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01D51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5C18047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5D697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A4CC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419BB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FF02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119C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1AAAC8F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6F78F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120C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36C3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EACEC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0A56A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0ED8467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EB8697"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971BCE"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129C95"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DC596"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61F3F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1A14C61C" w14:textId="77777777" w:rsidR="00B93F12" w:rsidRDefault="00B93F1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2A00E974" w14:textId="77777777" w:rsidR="00B93F12" w:rsidRDefault="00B93F1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71C38D9"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008D35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DA0A66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08B2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BDC15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ADE3C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7CCB3EB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B0A9C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6D1BA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E13CC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3108C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29C914"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F4BEA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9901DF"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9AAD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3E6A35EB" w14:textId="77777777" w:rsidR="00B93F12" w:rsidRDefault="00B93F1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3D54EE1"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BA358B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8E581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DDFE8B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3FEB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30C41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01C0D77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EFBB6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F6239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2DC5B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15AD4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A4F1C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EFAD2C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B2E388"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CFD3B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1773E88B" w14:textId="77777777" w:rsidR="00B93F12" w:rsidRDefault="00B93F1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54ACD956" w14:textId="77777777" w:rsidR="00B93F12" w:rsidRDefault="00B93F1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285FCCF"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1AA4F8"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73760B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B2C7AD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40711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4005D5"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7FC4708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72833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20DCD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1260F2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1ED2A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3124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2057BC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46E80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3FA9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53B0017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9F1A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3C0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22357C9D" w14:textId="77777777" w:rsidR="00B93F12" w:rsidRDefault="00B93F1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17391896"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8FA5DF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7F398C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1358E3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70E3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D4510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54245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9D22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4B12F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25306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E385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5484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45E3C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1C831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DD8C5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46F4DB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4C71DB"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B8A091"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22485C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A319B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1EE51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E85FA3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16773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7391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04DD5904" w14:textId="77777777" w:rsidR="00B93F12" w:rsidRDefault="00B93F12">
      <w:pPr>
        <w:pStyle w:val="Heading1"/>
        <w:pageBreakBefore/>
        <w:rPr>
          <w:rFonts w:ascii="Arial" w:eastAsia="Times New Roman" w:hAnsi="Arial" w:cs="Arial"/>
        </w:rPr>
      </w:pPr>
      <w:r>
        <w:rPr>
          <w:rFonts w:ascii="Arial" w:eastAsia="Times New Roman" w:hAnsi="Arial" w:cs="Arial"/>
        </w:rPr>
        <w:t>5  Prerequisites for Carrying Out the Project</w:t>
      </w:r>
    </w:p>
    <w:p w14:paraId="3AACAF0B" w14:textId="77777777" w:rsidR="00B93F12" w:rsidRDefault="00B93F12">
      <w:pPr>
        <w:pStyle w:val="Heading2"/>
        <w:rPr>
          <w:rFonts w:ascii="Arial" w:eastAsia="Times New Roman" w:hAnsi="Arial" w:cs="Arial"/>
        </w:rPr>
      </w:pPr>
      <w:r>
        <w:rPr>
          <w:rFonts w:ascii="Arial" w:eastAsia="Times New Roman" w:hAnsi="Arial" w:cs="Arial"/>
        </w:rPr>
        <w:t>5.1  Environment at the host institution</w:t>
      </w:r>
    </w:p>
    <w:p w14:paraId="0DC40281" w14:textId="77777777" w:rsidR="00B93F12" w:rsidRDefault="00B93F12">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33A0C99C" w14:textId="77777777" w:rsidR="00B93F12" w:rsidRDefault="00B93F12">
      <w:pPr>
        <w:pStyle w:val="Heading2"/>
        <w:rPr>
          <w:rFonts w:ascii="Arial" w:eastAsia="Times New Roman" w:hAnsi="Arial" w:cs="Arial"/>
        </w:rPr>
      </w:pPr>
      <w:r>
        <w:rPr>
          <w:rFonts w:ascii="Arial" w:eastAsia="Times New Roman" w:hAnsi="Arial" w:cs="Arial"/>
        </w:rPr>
        <w:t>5.2  Collaborations</w:t>
      </w:r>
    </w:p>
    <w:p w14:paraId="3A6328BC"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091E7D9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71C462F7"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1615938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54C91D79" w14:textId="77777777" w:rsidR="00B93F12" w:rsidRDefault="00B93F12">
      <w:pPr>
        <w:pStyle w:val="NormalWeb"/>
        <w:rPr>
          <w:rFonts w:ascii="Arial" w:hAnsi="Arial" w:cs="Arial"/>
          <w:sz w:val="21"/>
          <w:szCs w:val="21"/>
        </w:rPr>
      </w:pPr>
      <w:r>
        <w:rPr>
          <w:rFonts w:ascii="Arial" w:hAnsi="Arial" w:cs="Arial"/>
          <w:sz w:val="21"/>
          <w:szCs w:val="21"/>
        </w:rPr>
        <w:t>[Attach letters of commitment as appendices.]</w:t>
      </w:r>
    </w:p>
    <w:p w14:paraId="427C81B9" w14:textId="77777777" w:rsidR="00B93F12" w:rsidRDefault="00B93F12">
      <w:pPr>
        <w:pStyle w:val="Heading2"/>
        <w:rPr>
          <w:rFonts w:ascii="Arial" w:eastAsia="Times New Roman" w:hAnsi="Arial" w:cs="Arial"/>
        </w:rPr>
      </w:pPr>
      <w:r>
        <w:rPr>
          <w:rFonts w:ascii="Arial" w:eastAsia="Times New Roman" w:hAnsi="Arial" w:cs="Arial"/>
        </w:rPr>
        <w:t>5.3  Equal opportunities, early-career researchers</w:t>
      </w:r>
    </w:p>
    <w:p w14:paraId="3D897D16" w14:textId="77777777" w:rsidR="00B93F12" w:rsidRDefault="00B93F1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5E907787" w14:textId="77777777" w:rsidR="00B93F12" w:rsidRDefault="00B93F12">
      <w:pPr>
        <w:pStyle w:val="Heading1"/>
        <w:rPr>
          <w:rFonts w:ascii="Arial" w:eastAsia="Times New Roman" w:hAnsi="Arial" w:cs="Arial"/>
        </w:rPr>
      </w:pPr>
      <w:r>
        <w:rPr>
          <w:rFonts w:ascii="Arial" w:eastAsia="Times New Roman" w:hAnsi="Arial" w:cs="Arial"/>
        </w:rPr>
        <w:t>6  Declarations</w:t>
      </w:r>
    </w:p>
    <w:p w14:paraId="67465B45"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11284F1E"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526FFEB3"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2D8AF9D6"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B93F1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E55BAE"/>
    <w:multiLevelType w:val="multilevel"/>
    <w:tmpl w:val="F67A6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FC619BA"/>
    <w:multiLevelType w:val="multilevel"/>
    <w:tmpl w:val="54B89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E9477F"/>
    <w:multiLevelType w:val="multilevel"/>
    <w:tmpl w:val="4DE4A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CB06E0"/>
    <w:multiLevelType w:val="multilevel"/>
    <w:tmpl w:val="C64AA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747259">
    <w:abstractNumId w:val="2"/>
  </w:num>
  <w:num w:numId="2" w16cid:durableId="1156602734">
    <w:abstractNumId w:val="0"/>
  </w:num>
  <w:num w:numId="3" w16cid:durableId="493574606">
    <w:abstractNumId w:val="1"/>
  </w:num>
  <w:num w:numId="4" w16cid:durableId="18267789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F358F"/>
    <w:rsid w:val="009F358F"/>
    <w:rsid w:val="00B93F12"/>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AA2542"/>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543102">
      <w:marLeft w:val="0"/>
      <w:marRight w:val="0"/>
      <w:marTop w:val="0"/>
      <w:marBottom w:val="0"/>
      <w:divBdr>
        <w:top w:val="none" w:sz="0" w:space="0" w:color="auto"/>
        <w:left w:val="none" w:sz="0" w:space="0" w:color="auto"/>
        <w:bottom w:val="none" w:sz="0" w:space="0" w:color="auto"/>
        <w:right w:val="none" w:sz="0" w:space="0" w:color="auto"/>
      </w:divBdr>
    </w:div>
    <w:div w:id="207638955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7698</Words>
  <Characters>46651</Characters>
  <Application>Microsoft Office Word</Application>
  <DocSecurity>4</DocSecurity>
  <Lines>897</Lines>
  <Paragraphs>456</Paragraphs>
  <ScaleCrop>false</ScaleCrop>
  <Company/>
  <LinksUpToDate>false</LinksUpToDate>
  <CharactersWithSpaces>53893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