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measurable at the O-K edge as a relative, series-internal quantity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quantitative CI anchors exist for the La-based manganite end members [32], but no Δ/U/(pdσ) set has been published for Pr1-xCaxMnO3 at any composition – the closest existing series spectroscopy [33] stops short of a cluster fit; establishing the PCMO parameter set is an explicit deliverable of this project.</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[34] on a large-area PLD system of the type I have already used for wafer-scale memristive heterostructures [E3]; combinatorial hardware of this class covers substrates up to four inches [35], and epitaxial perovskite composition spreads are established [36]. Spatially resolved soft XAS turns such a wafer into a continuous covalency map – on-the-fly L-edge mapping of a combinatorial spread with a 0.5 mm beam has recently been demonstrated [37], and beamlines built for automated high-throughput NEXAFS exist for exactly this duty cycle [38] – while automated prober mapping of device arrays along the same gradient track yields the corresponding switching map [39].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[34], cation transfer is fluence- and pO2-sensitive and therefore calibrated per position [40],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[41], chemical expansion (high-temperature XRD) or a reference of known stoichiometry; optical absorption provides a second, fully imageable δ read-out [43]. Thin-film defect chemistry of exactly this type is established for ceria films [41] and for (La,Sr)FeO3-δ films [42],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[38].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the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PCMO series (months 1–8, Stanford)</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8): validated sample series with complete descriptor set. In parallel with the discrete samples, a gradient wafer of the same system is grown in continuous-compositional-spread mode [34, 35]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6–12, Stanford)</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12): switching figures of merit as a function of x, in both geometries,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including the reduction enthalpy per composition obtained from the gradient-wafer gas titration;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T. Saitoh, A. E. Bocquet, T. Mizokawa, H. Namatame, A. Fujimori, M. Abbate, Y. Takeda, M. Takano, Electronic structure of La1-xSrxMnO3 studied by photoemission and x-ray-absorption spectroscopy. Physical Review B 51, 13942–13951 (1995).</w:t>
      </w:r>
    </w:p>
    <w:p>
      <w:pPr>
        <w:spacing w:after="120"/>
      </w:pPr>
      <w:r>
        <w:rPr>
          <w:sz w:val="18"/>
          <w:szCs w:val="18"/>
        </w:rPr>
        <w:t xml:space="preserve">[33] K. Ebata, M. Hashimoto, K. Tanaka, A. Fujimori, Y. Tomioka, Y. Tokura, Chemical potential shift and spectral-weight transfer in Pr1-xCaxMnO3. Physical Review B 76, 174418 (2007). [verify exact title before submission]</w:t>
      </w:r>
    </w:p>
    <w:p>
      <w:pPr>
        <w:spacing w:after="120"/>
      </w:pPr>
      <w:r>
        <w:rPr>
          <w:sz w:val="18"/>
          <w:szCs w:val="18"/>
        </w:rPr>
        <w:t xml:space="preserve">[34]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[35]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[36] A. Venimadhav, K. A. Yates, M. G. Blamire, Scanning Raman Spectroscopy for Characterizing Compositionally Spread Films. Journal of Combinatorial Chemistry 7, 85–89 (2005).</w:t>
      </w:r>
    </w:p>
    <w:p>
      <w:pPr>
        <w:spacing w:after="120"/>
      </w:pPr>
      <w:r>
        <w:rPr>
          <w:sz w:val="18"/>
          <w:szCs w:val="18"/>
        </w:rPr>
        <w:t xml:space="preserve">[37]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[38]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[39]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[40]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[41]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[42]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[43]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2026-08-10T22:40:37.069Z</dcterms:created>
  <dcterms:modified xsi:type="dcterms:W3CDTF">2026-08-10T22:40:37.069Z</dcterms:modified>
</cp:coreProperties>
</file>

<file path=docProps/custom.xml><?xml version="1.0" encoding="utf-8"?>
<Properties xmlns="http://schemas.openxmlformats.org/officeDocument/2006/custom-properties" xmlns:vt="http://schemas.openxmlformats.org/officeDocument/2006/docPropsVTypes"/>
</file>