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020FE7" w14:textId="77777777" w:rsidR="001761AA" w:rsidRDefault="001761AA">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3E2901D6" w14:textId="77777777" w:rsidR="001761AA" w:rsidRDefault="001761AA">
      <w:pPr>
        <w:pStyle w:val="NormalWeb"/>
        <w:rPr>
          <w:rFonts w:ascii="Arial" w:hAnsi="Arial" w:cs="Arial"/>
          <w:sz w:val="21"/>
          <w:szCs w:val="21"/>
        </w:rPr>
      </w:pPr>
      <w:r>
        <w:rPr>
          <w:rFonts w:ascii="Arial" w:hAnsi="Arial" w:cs="Arial"/>
          <w:sz w:val="21"/>
          <w:szCs w:val="21"/>
        </w:rPr>
        <w:t> </w:t>
      </w:r>
    </w:p>
    <w:p w14:paraId="46383E51" w14:textId="77777777" w:rsidR="001761AA" w:rsidRDefault="001761AA">
      <w:pPr>
        <w:pStyle w:val="NormalWeb"/>
        <w:rPr>
          <w:rFonts w:ascii="Arial" w:hAnsi="Arial" w:cs="Arial"/>
          <w:sz w:val="21"/>
          <w:szCs w:val="21"/>
        </w:rPr>
      </w:pPr>
      <w:r>
        <w:rPr>
          <w:rFonts w:ascii="Arial" w:hAnsi="Arial" w:cs="Arial"/>
          <w:sz w:val="21"/>
          <w:szCs w:val="21"/>
        </w:rPr>
        <w:t> </w:t>
      </w:r>
    </w:p>
    <w:p w14:paraId="76BB7F84" w14:textId="77777777" w:rsidR="001761AA" w:rsidRDefault="001761AA">
      <w:pPr>
        <w:pStyle w:val="NormalWeb"/>
        <w:rPr>
          <w:rFonts w:ascii="Arial" w:hAnsi="Arial" w:cs="Arial"/>
          <w:sz w:val="21"/>
          <w:szCs w:val="21"/>
        </w:rPr>
      </w:pPr>
      <w:r>
        <w:rPr>
          <w:rFonts w:ascii="Arial" w:hAnsi="Arial" w:cs="Arial"/>
          <w:sz w:val="21"/>
          <w:szCs w:val="21"/>
        </w:rPr>
        <w:t> </w:t>
      </w:r>
    </w:p>
    <w:p w14:paraId="1217DFD8" w14:textId="77777777" w:rsidR="001761AA" w:rsidRDefault="001761AA">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38F322BB" w14:textId="77777777" w:rsidR="001761AA" w:rsidRDefault="001761AA">
      <w:pPr>
        <w:pStyle w:val="NormalWeb"/>
        <w:rPr>
          <w:rFonts w:ascii="Arial" w:hAnsi="Arial" w:cs="Arial"/>
          <w:sz w:val="21"/>
          <w:szCs w:val="21"/>
        </w:rPr>
      </w:pPr>
      <w:r>
        <w:rPr>
          <w:rFonts w:ascii="Arial" w:hAnsi="Arial" w:cs="Arial"/>
          <w:sz w:val="21"/>
          <w:szCs w:val="21"/>
        </w:rPr>
        <w:t> </w:t>
      </w:r>
    </w:p>
    <w:p w14:paraId="628841CA" w14:textId="77777777" w:rsidR="001761AA" w:rsidRDefault="001761AA">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La</w:t>
      </w:r>
      <w:r>
        <w:rPr>
          <w:rFonts w:ascii="Arial" w:hAnsi="Arial" w:cs="Arial"/>
          <w:b/>
          <w:bCs/>
          <w:sz w:val="26"/>
          <w:szCs w:val="26"/>
          <w:vertAlign w:val="subscript"/>
        </w:rPr>
        <w:t>1-x</w:t>
      </w:r>
      <w:r>
        <w:rPr>
          <w:rFonts w:ascii="Arial" w:hAnsi="Arial" w:cs="Arial"/>
          <w:b/>
          <w:bCs/>
          <w:sz w:val="26"/>
          <w:szCs w:val="26"/>
        </w:rPr>
        <w:t>Sr</w:t>
      </w:r>
      <w:r>
        <w:rPr>
          <w:rFonts w:ascii="Arial" w:hAnsi="Arial" w:cs="Arial"/>
          <w:b/>
          <w:bCs/>
          <w:sz w:val="26"/>
          <w:szCs w:val="26"/>
          <w:vertAlign w:val="subscript"/>
        </w:rPr>
        <w:t>x</w:t>
      </w:r>
      <w:r>
        <w:rPr>
          <w:rFonts w:ascii="Arial" w:hAnsi="Arial" w:cs="Arial"/>
          <w:b/>
          <w:bCs/>
          <w:sz w:val="26"/>
          <w:szCs w:val="26"/>
        </w:rPr>
        <w:t>FeO</w:t>
      </w:r>
      <w:r>
        <w:rPr>
          <w:rFonts w:ascii="Arial" w:hAnsi="Arial" w:cs="Arial"/>
          <w:b/>
          <w:bCs/>
          <w:sz w:val="26"/>
          <w:szCs w:val="26"/>
          <w:vertAlign w:val="subscript"/>
        </w:rPr>
        <w:t>3-δ</w:t>
      </w:r>
      <w:r>
        <w:rPr>
          <w:rFonts w:ascii="Arial" w:hAnsi="Arial" w:cs="Arial"/>
          <w:b/>
          <w:bCs/>
          <w:sz w:val="26"/>
          <w:szCs w:val="26"/>
        </w:rPr>
        <w:t xml:space="preserve"> Model Series</w:t>
      </w:r>
    </w:p>
    <w:p w14:paraId="2050C4C4" w14:textId="77777777" w:rsidR="001761AA" w:rsidRDefault="001761AA">
      <w:pPr>
        <w:pStyle w:val="NormalWeb"/>
        <w:rPr>
          <w:rFonts w:ascii="Arial" w:hAnsi="Arial" w:cs="Arial"/>
          <w:sz w:val="21"/>
          <w:szCs w:val="21"/>
        </w:rPr>
      </w:pPr>
      <w:r>
        <w:rPr>
          <w:rFonts w:ascii="Arial" w:hAnsi="Arial" w:cs="Arial"/>
          <w:sz w:val="21"/>
          <w:szCs w:val="21"/>
        </w:rPr>
        <w:t> </w:t>
      </w:r>
    </w:p>
    <w:p w14:paraId="559959A2" w14:textId="77777777" w:rsidR="001761AA" w:rsidRDefault="001761AA">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6D38D072"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109229"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427D4"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1BBE967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A19CDA"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0B1F5A"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Friedrich Wilhelm Bessel Research Award winner of the AvH Foundation (2021), member of the Humboldt Network</w:t>
            </w:r>
          </w:p>
        </w:tc>
      </w:tr>
      <w:tr w:rsidR="00000000" w14:paraId="398B6AF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9F13BE"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6C548EC"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7809904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493486B"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4DFDA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67CAC4F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1F15ACD"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351DF3"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5D9E871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F277AA" w14:textId="77777777" w:rsidR="001761AA" w:rsidRDefault="001761AA">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8E5A95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25B122F9" w14:textId="77777777" w:rsidR="001761AA" w:rsidRDefault="001761AA">
      <w:pPr>
        <w:pStyle w:val="NormalWeb"/>
        <w:rPr>
          <w:rFonts w:ascii="Arial" w:hAnsi="Arial" w:cs="Arial"/>
          <w:sz w:val="21"/>
          <w:szCs w:val="21"/>
        </w:rPr>
      </w:pPr>
      <w:r>
        <w:rPr>
          <w:rFonts w:ascii="Arial" w:hAnsi="Arial" w:cs="Arial"/>
          <w:sz w:val="21"/>
          <w:szCs w:val="21"/>
        </w:rPr>
        <w:t> </w:t>
      </w:r>
    </w:p>
    <w:p w14:paraId="179764FB" w14:textId="77777777" w:rsidR="001761AA" w:rsidRDefault="001761AA">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26099F57" w14:textId="77777777" w:rsidR="001761AA" w:rsidRDefault="001761AA">
      <w:pPr>
        <w:pStyle w:val="Heading1"/>
        <w:pageBreakBefore/>
        <w:rPr>
          <w:rFonts w:ascii="Arial" w:eastAsia="Times New Roman" w:hAnsi="Arial" w:cs="Arial"/>
        </w:rPr>
      </w:pPr>
      <w:r>
        <w:rPr>
          <w:rFonts w:ascii="Arial" w:eastAsia="Times New Roman" w:hAnsi="Arial" w:cs="Arial"/>
        </w:rPr>
        <w:lastRenderedPageBreak/>
        <w:t>Research Proposal (Exposé)</w:t>
      </w:r>
    </w:p>
    <w:p w14:paraId="5A32A23F" w14:textId="77777777" w:rsidR="001761AA" w:rsidRDefault="001761AA">
      <w:pPr>
        <w:pStyle w:val="Heading2"/>
        <w:rPr>
          <w:rFonts w:ascii="Arial" w:eastAsia="Times New Roman" w:hAnsi="Arial" w:cs="Arial"/>
        </w:rPr>
      </w:pPr>
      <w:r>
        <w:rPr>
          <w:rFonts w:ascii="Arial" w:eastAsia="Times New Roman" w:hAnsi="Arial" w:cs="Arial"/>
        </w:rPr>
        <w:t>1  Research question and scientific significance</w:t>
      </w:r>
    </w:p>
    <w:p w14:paraId="63873C54" w14:textId="77777777" w:rsidR="001761AA" w:rsidRDefault="001761AA">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the ideally suited model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(LSFO).</w:t>
      </w:r>
    </w:p>
    <w:p w14:paraId="56223C81" w14:textId="77777777" w:rsidR="001761AA" w:rsidRDefault="001761AA">
      <w:pPr>
        <w:pStyle w:val="NormalWeb"/>
        <w:rPr>
          <w:rFonts w:ascii="Arial" w:hAnsi="Arial" w:cs="Arial"/>
          <w:sz w:val="21"/>
          <w:szCs w:val="21"/>
        </w:rPr>
      </w:pPr>
      <w:r>
        <w:rPr>
          <w:rFonts w:ascii="Arial" w:hAnsi="Arial" w:cs="Arial"/>
          <w:sz w:val="21"/>
          <w:szCs w:val="21"/>
        </w:rPr>
        <w:t>LSFO is the perfect test system: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lowers E</w:t>
      </w:r>
      <w:r>
        <w:rPr>
          <w:rFonts w:ascii="Arial" w:hAnsi="Arial" w:cs="Arial"/>
          <w:sz w:val="21"/>
          <w:szCs w:val="21"/>
          <w:vertAlign w:val="subscript"/>
        </w:rPr>
        <w:t>V</w:t>
      </w:r>
      <w:r>
        <w:rPr>
          <w:rFonts w:ascii="Arial" w:hAnsi="Arial" w:cs="Arial"/>
          <w:sz w:val="21"/>
          <w:szCs w:val="21"/>
        </w:rPr>
        <w:t xml:space="preserve">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w:t>
      </w:r>
      <w:r>
        <w:rPr>
          <w:rFonts w:ascii="Arial" w:hAnsi="Arial" w:cs="Arial"/>
          <w:sz w:val="21"/>
          <w:szCs w:val="21"/>
          <w:vertAlign w:val="subscript"/>
        </w:rPr>
        <w:t>3-δ</w:t>
      </w:r>
      <w:r>
        <w:rPr>
          <w:rFonts w:ascii="Arial" w:hAnsi="Arial" w:cs="Arial"/>
          <w:sz w:val="21"/>
          <w:szCs w:val="21"/>
        </w:rPr>
        <w:t>/SrFeO</w:t>
      </w:r>
      <w:r>
        <w:rPr>
          <w:rFonts w:ascii="Arial" w:hAnsi="Arial" w:cs="Arial"/>
          <w:sz w:val="21"/>
          <w:szCs w:val="21"/>
          <w:vertAlign w:val="subscript"/>
        </w:rPr>
        <w:t>2.5</w:t>
      </w:r>
      <w:r>
        <w:rPr>
          <w:rFonts w:ascii="Arial" w:hAnsi="Arial" w:cs="Arial"/>
          <w:sz w:val="21"/>
          <w:szCs w:val="21"/>
        </w:rPr>
        <w:t xml:space="preserve"> switches topotactically – under inert Au/SrRuO3 electrode stacks – with ON/OFF ratios around 10</w:t>
      </w:r>
      <w:r>
        <w:rPr>
          <w:rFonts w:ascii="Arial" w:hAnsi="Arial" w:cs="Arial"/>
          <w:sz w:val="21"/>
          <w:szCs w:val="21"/>
          <w:vertAlign w:val="superscript"/>
        </w:rPr>
        <w:t>4</w:t>
      </w:r>
      <w:r>
        <w:rPr>
          <w:rFonts w:ascii="Arial" w:hAnsi="Arial" w:cs="Arial"/>
          <w:sz w:val="21"/>
          <w:szCs w:val="21"/>
        </w:rPr>
        <w:t xml:space="preserve"> [12, 13], while LaFeO</w:t>
      </w:r>
      <w:r>
        <w:rPr>
          <w:rFonts w:ascii="Arial" w:hAnsi="Arial" w:cs="Arial"/>
          <w:sz w:val="21"/>
          <w:szCs w:val="21"/>
          <w:vertAlign w:val="subscript"/>
        </w:rPr>
        <w:t>3</w:t>
      </w:r>
      <w:r>
        <w:rPr>
          <w:rFonts w:ascii="Arial" w:hAnsi="Arial" w:cs="Arial"/>
          <w:sz w:val="21"/>
          <w:szCs w:val="21"/>
        </w:rPr>
        <w:t xml:space="preserve">, a robust insulator, is only rudimentarily switching-active [14, 23]. For the intermediate compositions, however, not a single memristor study exists – a gap secured by my systematic literature analysis. The closest existing work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electrochemically over four orders of magnitude [15], demonstrating feasibility without answering the memristor question. The few stoichiometry-dependent switching studies on related manganites consistently show a </w:t>
      </w:r>
      <w:r>
        <w:rPr>
          <w:rFonts w:ascii="Arial" w:hAnsi="Arial" w:cs="Arial"/>
          <w:i/>
          <w:iCs/>
          <w:sz w:val="21"/>
          <w:szCs w:val="21"/>
        </w:rPr>
        <w:t>non-monotonic optimum</w:t>
      </w:r>
      <w:r>
        <w:rPr>
          <w:rFonts w:ascii="Arial" w:hAnsi="Arial" w:cs="Arial"/>
          <w:sz w:val="21"/>
          <w:szCs w:val="21"/>
        </w:rPr>
        <w:t xml:space="preserve"> of the switching window with doping [16, 17] – my central hypothesis is therefore that the usable switching window of LSFO is maximal at intermediate covalency (“Goldilocks zone”) and that this position can be predicted from the XAS covalency descriptor. Because switching under inert electrode stacks is already demonstrated at the Sr-rich end, the unexplored intermediate series is an optimisation space rather than a feasibility risk: the project both maps the covalency correlation and optimises the switching window via the Sr content.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pPr>
        <w:pStyle w:val="NormalWeb"/>
        <w:rPr>
          <w:rFonts w:ascii="Arial" w:hAnsi="Arial" w:cs="Arial"/>
          <w:sz w:val="21"/>
          <w:szCs w:val="21"/>
        </w:rPr>
      </w:pPr>
      <w:r>
        <w:rPr>
          <w:rFonts w:ascii="Arial" w:hAnsi="Arial" w:cs="Arial"/>
          <w:sz w:val="21"/>
          <w:szCs w:val="21"/>
        </w:rP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[24] and as extracted compound by compound by the configuration-interaction analyses of Fujimori, Bocquet, Saitoh, Sarma and co-workers [25–28]. O-K pre-edge intensities serve as a relative, series-internal hybridisation measure only; their limits as an absolute covalency scale (core-hole effects, ligand-hole distribution, band effects) are treated explicitly [29], and the conflation of hybridisation with covalency that is common in the catalysis-descriptor literature is deliberately avoided – </w:t>
      </w:r>
      <w:r>
        <w:rPr>
          <w:rFonts w:ascii="Arial" w:hAnsi="Arial" w:cs="Arial"/>
          <w:sz w:val="21"/>
          <w:szCs w:val="21"/>
        </w:rPr>
        <w:t xml:space="preserve">the descriptor scale of this project is calibrated against cluster-model analysis, not against pre-edge intensity alone. System-specific parameter status (re-screening, 09.08.2026): the CI parameter basis of this series is among the strongest of any oxide family – both end members are quantitatively anchored, LaFeO3 with positive Δ and SrFeO3 with negative charge-transfer energy [30], recently reconfirmed by HAXPES (Δ ≈ −1.0 eV) [31], and series spectroscopy with CI anchoring exists [32]; the series thus crosses the sign of Δ, the conceptually richest descriptor axis of the portfolio.</w:t>
      </w:r>
    </w:p>
    <w:p>
      <w:pPr>
        <w:pStyle w:val="NormalWeb"/>
        <w:rPr>
          <w:rFonts w:ascii="Arial" w:hAnsi="Arial" w:cs="Arial"/>
          <w:sz w:val="21"/>
          <w:szCs w:val="21"/>
        </w:rPr>
      </w:pPr>
      <w:r>
        <w:rPr>
          <w:rFonts w:ascii="Arial" w:hAnsi="Arial" w:cs="Arial"/>
          <w:sz w:val="21"/>
          <w:szCs w:val="21"/>
        </w:rPr>
        <w:t xml:space="preserve">Methodological platform (added 08/2026) – one wafer, one map: beyond discrete samples, the composition series is realised as a single wafer carrying a continuous lateral cation-stoichiometry gradient, grown in continuous-compositional-spread mode [33] on a large-area PLD system of the type I have already used for wafer-scale memristive heterostructures [E3]; combinatorial hardware of this class covers substrates up to four inches [34], and epitaxial perovskite composition spreads are established [35]. Spatially resolved soft XAS turns such a wafer into a continuous covalency map – on-the-fly L-edge mapping of a combinatorial spread with a 0.5 mm beam has recently been demonstrated [36], and beamlines built for automated high-throughput NEXAFS exist for exactly this duty cycle [37] – while automated prober mapping of device arrays along the same gradient track yields the corresponding switching map [38]. With a 0.2–0.5 mm beam footprint on a 50 mm gradient, one wafer carries 100–250 independent composition points; the limiting quantity is the composition calibration map (XRF/WDS), not the beam. The known pitfalls are addressed by design: slit-synchronised scanning decouples composition from thickness [33], cation transfer is fluence- and pO2-sensitive and therefore calibrated per position [39], and structural quality across the wafer is mapped rather than assumed.</w:t>
      </w:r>
    </w:p>
    <w:p>
      <w:pPr>
        <w:pStyle w:val="NormalWeb"/>
        <w:rPr>
          <w:rFonts w:ascii="Arial" w:hAnsi="Arial" w:cs="Arial"/>
          <w:sz w:val="21"/>
          <w:szCs w:val="21"/>
        </w:rPr>
      </w:pPr>
      <w:r>
        <w:rPr>
          <w:rFonts w:ascii="Arial" w:hAnsi="Arial" w:cs="Arial"/>
          <w:sz w:val="21"/>
          <w:szCs w:val="21"/>
        </w:rPr>
        <w:t xml:space="preserve">The same wafer turns the weakest link of the descriptor chain into a measurement. Equilibrated at a defined oxygen partial pressure and temperature, every position adopts its own non-stoichiometry δ; mapping the transition-metal valence in the same XAS scan yields δ(x; pO2, T), and repeating this across oxidising and reducing conditions gives the reduction enthalpy ΔHred(x) – an experimentally determined vacancy-formation energy measured on the same spots, the same sample and the same growth run as the covalency descriptor. To be precise about what spectroscopy delivers: XAS gives valence, not an absolute oxygen content, so the map is calibrated against anchor points from chemical capacitance [40], chemical expansion (high-temperature XRD) or a reference of known stoichiometry; optical absorption provides a second, fully imageable δ read-out [42]. Thin-film defect chemistry of exactly this type is established for ceria films [40] and for (La,Sr)FeO3-δ films [41], and the composition-dependent reduction enthalpy of the SrTi1-xFexO3-δ solid solution is the natural validation target: if the gradient wafer reproduces that published curve, the method is proven, and only then does the co-located descriptor measurement carry weight. The covalency→EV link, which for most systems currently rests on calculation rather than experiment, thereby becomes a directly measured correlation whose predictive quality can be quantified per composition instead of asserted.</w:t>
      </w:r>
    </w:p>
    <w:p>
      <w:pPr>
        <w:pStyle w:val="NormalWeb"/>
        <w:rPr>
          <w:rFonts w:ascii="Arial" w:hAnsi="Arial" w:cs="Arial"/>
          <w:sz w:val="21"/>
          <w:szCs w:val="21"/>
        </w:rPr>
      </w:pPr>
      <w:r>
        <w:rPr>
          <w:rFonts w:ascii="Arial" w:hAnsi="Arial" w:cs="Arial"/>
          <w:sz w:val="21"/>
          <w:szCs w:val="21"/>
        </w:rPr>
        <w:t xml:space="preserve">Three constraints are taken seriously from the outset. (i) Detection under gas: total-electron yield collapses above a few mbar; Auger yield through a differentially pumped analyser carries to roughly 25 mbar and windowed fluorescence yield to ambient pressure, the latter at the price of self-absorption corrections at the transition-metal L edges. Ambient-pressure NEXAFS endstations built for this envelope exist and are combined with high-throughput operation [37]. (ii) Surface versus bulk: electron and Auger yield probe only the outer nanometres, precisely where enrichment and reconstruction may occur under high temperature and oxygen pressure, so bulk-sensitive fluorescence yield is recorded alongside and film thicknesses kept small. (iii) Radiation dose: soft-X-ray photoreduction of Ce, Mn, Fe and Co drives the valence in the same direction as the gas-induced reduction under study, so dose series, defocused fast scans and fresh-spot rastering are part of the protocol rather than an afterthought. Where electrochemical δ control is required, it needs an ion-conducting substrate stack and is therefore a deliberate choice for dedicated calibration wafers, not the default of the epitaxial gradient series. An ex-situ equilibrate-quench-measure route remains available as a fallback where δ is frozen in, which is defensible for titanates and manganites and marginal for cobaltites, ceria and YBCO.</w:t>
      </w:r>
    </w:p>
    <w:p w14:paraId="7A780078" w14:textId="77777777" w:rsidR="001761AA" w:rsidRDefault="001761AA">
      <w:pPr>
        <w:pStyle w:val="Heading2"/>
        <w:rPr>
          <w:rFonts w:ascii="Arial" w:eastAsia="Times New Roman" w:hAnsi="Arial" w:cs="Arial"/>
        </w:rPr>
      </w:pPr>
      <w:r>
        <w:rPr>
          <w:rFonts w:ascii="Arial" w:eastAsia="Times New Roman" w:hAnsi="Arial" w:cs="Arial"/>
        </w:rPr>
        <w:t>2  Why the Chueh group at Stanford is the ideal place</w:t>
      </w:r>
    </w:p>
    <w:p w14:paraId="68B6F31A" w14:textId="77777777" w:rsidR="001761AA" w:rsidRDefault="001761AA">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pStyle w:val="NormalWeb"/>
        <w:rPr>
          <w:rFonts w:ascii="Arial" w:hAnsi="Arial" w:cs="Arial"/>
          <w:sz w:val="21"/>
          <w:szCs w:val="21"/>
        </w:rPr>
      </w:pPr>
      <w:r>
        <w:rPr>
          <w:rFonts w:ascii="Arial" w:hAnsi="Arial" w:cs="Arial"/>
          <w:sz w:val="21"/>
          <w:szCs w:val="21"/>
          <w:i/>
        </w:rP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14:paraId="4D9921DC" w14:textId="77777777" w:rsidR="001761AA" w:rsidRDefault="001761AA">
      <w:pPr>
        <w:pStyle w:val="Heading2"/>
        <w:rPr>
          <w:rFonts w:ascii="Arial" w:eastAsia="Times New Roman" w:hAnsi="Arial" w:cs="Arial"/>
        </w:rPr>
      </w:pPr>
      <w:r>
        <w:rPr>
          <w:rFonts w:ascii="Arial" w:eastAsia="Times New Roman" w:hAnsi="Arial" w:cs="Arial"/>
        </w:rPr>
        <w:t>3  Work programme (24 months)</w:t>
      </w:r>
    </w:p>
    <w:p w14:paraId="06B4C09A" w14:textId="77777777" w:rsidR="001761AA" w:rsidRDefault="001761AA">
      <w:pPr>
        <w:pStyle w:val="Heading3"/>
        <w:rPr>
          <w:rFonts w:ascii="Arial" w:eastAsia="Times New Roman" w:hAnsi="Arial" w:cs="Arial"/>
        </w:rPr>
      </w:pPr>
      <w:r>
        <w:rPr>
          <w:rFonts w:ascii="Arial" w:eastAsia="Times New Roman" w:hAnsi="Arial" w:cs="Arial"/>
        </w:rPr>
        <w:t xml:space="preserve">WP1 – Synthesis and descriptor measurement of the LSFO series (months 1–10)</w:t>
      </w:r>
    </w:p>
    <w:p w14:paraId="5F4D98F4" w14:textId="77777777" w:rsidR="001761AA" w:rsidRDefault="001761AA">
      <w:pPr>
        <w:pStyle w:val="NormalWeb"/>
        <w:rPr>
          <w:rFonts w:ascii="Arial" w:hAnsi="Arial" w:cs="Arial"/>
          <w:sz w:val="21"/>
          <w:szCs w:val="21"/>
        </w:rPr>
      </w:pPr>
      <w:r>
        <w:rPr>
          <w:rFonts w:ascii="Arial" w:hAnsi="Arial" w:cs="Arial"/>
          <w:sz w:val="21"/>
          <w:szCs w:val="21"/>
        </w:rPr>
        <w:t>PLD growth of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films (x = 0; 0.2; 0.33; 0.5; 0.67; 1) on Nb:SrTiO</w:t>
      </w:r>
      <w:r>
        <w:rPr>
          <w:rFonts w:ascii="Arial" w:hAnsi="Arial" w:cs="Arial"/>
          <w:sz w:val="21"/>
          <w:szCs w:val="21"/>
          <w:vertAlign w:val="subscript"/>
        </w:rPr>
        <w:t>3</w:t>
      </w:r>
      <w:r>
        <w:rPr>
          <w:rFonts w:ascii="Arial" w:hAnsi="Arial" w:cs="Arial"/>
          <w:sz w:val="21"/>
          <w:szCs w:val="21"/>
        </w:rPr>
        <w:t xml:space="preserve"> substrates in the Stanford/SLAC thin-film laboratories; structural validation (XRD, AFM); determination of cation and oxygen stoichiometry (XPS, RBS where required). In parallel, first XAS campaign at SSRL: O-K pre-edge quantification following the procedure of Suntivich et al. [11] and Fe-L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r>
        <w:rPr>
          <w:rFonts w:ascii="Arial" w:hAnsi="Arial" w:cs="Arial"/>
          <w:i/>
          <w:iCs/>
          <w:sz w:val="21"/>
          <w:szCs w:val="21"/>
        </w:rPr>
        <w:t xml:space="preserve"> In parallel with the discrete samples, a gradient wafer of the same system is grown in continuous-compositional-spread mode [33, 34] and calibrated position by position (XRF/WDS composition map, XRR thickness, XRD structural quality); the discrete series remains the backbone of the analysis, the gradient wafer is the throughput accelerator and the carrier of the defect-chemical titration in WP3.</w:t>
      </w:r>
    </w:p>
    <w:p w14:paraId="3EF1ADA5" w14:textId="77777777" w:rsidR="001761AA" w:rsidRDefault="001761AA">
      <w:pPr>
        <w:pStyle w:val="Heading3"/>
        <w:rPr>
          <w:rFonts w:ascii="Arial" w:eastAsia="Times New Roman" w:hAnsi="Arial" w:cs="Arial"/>
        </w:rPr>
      </w:pPr>
      <w:r>
        <w:rPr>
          <w:rFonts w:ascii="Arial" w:eastAsia="Times New Roman" w:hAnsi="Arial" w:cs="Arial"/>
        </w:rPr>
        <w:t>WP2 – Devices and switching characterisation (months 8–18)</w:t>
      </w:r>
    </w:p>
    <w:p w14:paraId="589F6716" w14:textId="77777777" w:rsidR="001761AA" w:rsidRDefault="001761AA">
      <w:pPr>
        <w:pStyle w:val="NormalWeb"/>
        <w:rPr>
          <w:rFonts w:ascii="Arial" w:hAnsi="Arial" w:cs="Arial"/>
          <w:sz w:val="21"/>
          <w:szCs w:val="21"/>
        </w:rPr>
      </w:pPr>
      <w:r>
        <w:rPr>
          <w:rFonts w:ascii="Arial" w:hAnsi="Arial" w:cs="Arial"/>
          <w:sz w:val="21"/>
          <w:szCs w:val="21"/>
        </w:rPr>
        <w:t>Processing of identical Pt/LSFO/Nb:SrTiO</w:t>
      </w:r>
      <w:r>
        <w:rPr>
          <w:rFonts w:ascii="Arial" w:hAnsi="Arial" w:cs="Arial"/>
          <w:sz w:val="21"/>
          <w:szCs w:val="21"/>
          <w:vertAlign w:val="subscript"/>
        </w:rPr>
        <w:t>3</w:t>
      </w:r>
      <w:r>
        <w:rPr>
          <w:rFonts w:ascii="Arial" w:hAnsi="Arial" w:cs="Arial"/>
          <w:sz w:val="21"/>
          <w:szCs w:val="21"/>
        </w:rPr>
        <w:t xml:space="preserve">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with robust statistics.</w:t>
      </w:r>
    </w:p>
    <w:p w14:paraId="76429027" w14:textId="77777777" w:rsidR="001761AA" w:rsidRDefault="001761AA">
      <w:pPr>
        <w:pStyle w:val="Heading3"/>
        <w:rPr>
          <w:rFonts w:ascii="Arial" w:eastAsia="Times New Roman" w:hAnsi="Arial" w:cs="Arial"/>
        </w:rPr>
      </w:pPr>
      <w:r>
        <w:rPr>
          <w:rFonts w:ascii="Arial" w:eastAsia="Times New Roman" w:hAnsi="Arial" w:cs="Arial"/>
        </w:rPr>
        <w:t>WP3 – Correlation, operando validation and publication (months 16–24)</w:t>
      </w:r>
    </w:p>
    <w:p w14:paraId="72A12E36" w14:textId="77777777" w:rsidR="001761AA" w:rsidRDefault="001761AA">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DFT [9]) ↔ switching metrics; test of the optimum hypothesis.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r>
        <w:rPr>
          <w:rFonts w:ascii="Arial" w:hAnsi="Arial" w:cs="Arial"/>
          <w:i/>
          <w:iCs/>
          <w:sz w:val="21"/>
          <w:szCs w:val="21"/>
        </w:rPr>
        <w:t xml:space="preserve"> On the gradient wafer, the defect-chemical gas titration introduced in Section 1 is carried out: δ(x; pO2, T) from oxidising and reducing equilibria yields ΔHred(x) and thus a covalency↔EV correlation measured spot-by-spot against the descriptor on one and the same sample [37], with equilibrium and radiation-dose controls preceding any descriptor claim.</w:t>
      </w:r>
    </w:p>
    <w:p w14:paraId="2C76CC2C" w14:textId="77777777" w:rsidR="001761AA" w:rsidRDefault="001761AA">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7D7F09AD"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48385E1"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4B3F709"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718D622"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EDBA339"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B11CFD8"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55F8157"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BF1A15A"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FC7BCC2"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CA127C1"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15B5295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A327B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374051"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AB3D0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D518BC4"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6B9D97"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899D52" w14:textId="77777777" w:rsidR="001761AA" w:rsidRDefault="001761AA">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65291B"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4E6D43C"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69036C" w14:textId="77777777" w:rsidR="001761AA" w:rsidRDefault="001761AA">
            <w:pPr>
              <w:spacing w:before="120" w:after="200"/>
              <w:jc w:val="center"/>
              <w:rPr>
                <w:rFonts w:eastAsia="Times New Roman"/>
                <w:sz w:val="20"/>
                <w:szCs w:val="20"/>
              </w:rPr>
            </w:pPr>
          </w:p>
        </w:tc>
      </w:tr>
      <w:tr w:rsidR="00000000" w14:paraId="4E8978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200BA8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010D3C" w14:textId="77777777" w:rsidR="001761AA" w:rsidRDefault="001761AA">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658D1E"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E374F7"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0B02FF"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7EAD41"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C96E6D"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9E474E" w14:textId="77777777" w:rsidR="001761AA" w:rsidRDefault="001761AA">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2250FA" w14:textId="77777777" w:rsidR="001761AA" w:rsidRDefault="001761AA">
            <w:pPr>
              <w:spacing w:before="120" w:after="200"/>
              <w:jc w:val="center"/>
              <w:rPr>
                <w:rFonts w:eastAsia="Times New Roman"/>
                <w:sz w:val="20"/>
                <w:szCs w:val="20"/>
              </w:rPr>
            </w:pPr>
          </w:p>
        </w:tc>
      </w:tr>
      <w:tr w:rsidR="00000000" w14:paraId="6FE6975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D77C55"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7C98221" w14:textId="77777777" w:rsidR="001761AA" w:rsidRDefault="001761AA">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1D6C5"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DE938E7"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38E0FE"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C1C397A" w14:textId="77777777" w:rsidR="001761AA" w:rsidRDefault="001761AA">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D5E8EA"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5552E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AC93B" w14:textId="77777777" w:rsidR="001761AA" w:rsidRDefault="001761AA">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7C484283" w14:textId="77777777" w:rsidR="001761AA" w:rsidRDefault="001761AA">
      <w:pPr>
        <w:pStyle w:val="Heading2"/>
        <w:rPr>
          <w:rFonts w:ascii="Arial" w:eastAsia="Times New Roman" w:hAnsi="Arial" w:cs="Arial"/>
        </w:rPr>
      </w:pPr>
      <w:r>
        <w:rPr>
          <w:rFonts w:ascii="Arial" w:eastAsia="Times New Roman" w:hAnsi="Arial" w:cs="Arial"/>
        </w:rPr>
        <w:t>5  Career perspective and return strategy</w:t>
      </w:r>
    </w:p>
    <w:p w14:paraId="7B2C99FE" w14:textId="77777777" w:rsidR="001761AA" w:rsidRDefault="001761AA">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(the covalency-resolved LSFO dataset, spanning the largest documented E</w:t>
      </w:r>
      <w:r>
        <w:rPr>
          <w:rFonts w:ascii="Arial" w:hAnsi="Arial" w:cs="Arial"/>
          <w:sz w:val="21"/>
          <w:szCs w:val="21"/>
          <w:vertAlign w:val="subscript"/>
        </w:rPr>
        <w:t>V</w:t>
      </w:r>
      <w:r>
        <w:rPr>
          <w:rFonts w:ascii="Arial" w:hAnsi="Arial" w:cs="Arial"/>
          <w:sz w:val="21"/>
          <w:szCs w:val="21"/>
        </w:rPr>
        <w:t xml:space="preserve"> range of any perovskite series) for the larger programme of a “treasure map” of memristive oxides in analogy to the bonding-descriptor maps of Wuttig et al. [21]. The subsequent group programme then extends the methodology to the manganite and cobaltite families and charts the topotactic mechanism boundary that the LSFO series itself approaches at its Sr-rich end.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791C8F98" w14:textId="77777777" w:rsidR="001761AA" w:rsidRDefault="001761AA">
      <w:pPr>
        <w:pStyle w:val="Heading2"/>
        <w:rPr>
          <w:rFonts w:ascii="Arial" w:eastAsia="Times New Roman" w:hAnsi="Arial" w:cs="Arial"/>
        </w:rPr>
      </w:pPr>
      <w:r>
        <w:rPr>
          <w:rFonts w:ascii="Arial" w:eastAsia="Times New Roman" w:hAnsi="Arial" w:cs="Arial"/>
        </w:rPr>
        <w:t>6  References</w:t>
      </w:r>
    </w:p>
    <w:p w14:paraId="57BDB0D4" w14:textId="77777777" w:rsidR="001761AA" w:rsidRDefault="001761AA">
      <w:pPr>
        <w:spacing w:after="60"/>
        <w:ind w:hanging="480"/>
        <w:divId w:val="1197347534"/>
        <w:rPr>
          <w:rFonts w:ascii="Arial" w:hAnsi="Arial" w:cs="Arial"/>
          <w:sz w:val="18"/>
          <w:szCs w:val="18"/>
        </w:rPr>
      </w:pPr>
      <w:r>
        <w:rPr>
          <w:rFonts w:ascii="Arial" w:hAnsi="Arial" w:cs="Arial"/>
          <w:sz w:val="18"/>
          <w:szCs w:val="18"/>
        </w:rPr>
        <w:t>[1] R. Waser, M. Aono, Nanoionics-based resistive switching memories. Nature Materials 6, 833–840 (2007).</w:t>
      </w:r>
    </w:p>
    <w:p w14:paraId="2335A389" w14:textId="77777777" w:rsidR="001761AA" w:rsidRDefault="001761AA">
      <w:pPr>
        <w:spacing w:after="60"/>
        <w:ind w:hanging="480"/>
        <w:divId w:val="1197347534"/>
        <w:rPr>
          <w:rFonts w:ascii="Arial" w:hAnsi="Arial" w:cs="Arial"/>
          <w:sz w:val="18"/>
          <w:szCs w:val="18"/>
        </w:rPr>
      </w:pPr>
      <w:r>
        <w:rPr>
          <w:rFonts w:ascii="Arial" w:hAnsi="Arial" w:cs="Arial"/>
          <w:sz w:val="18"/>
          <w:szCs w:val="18"/>
        </w:rPr>
        <w:t xml:space="preserve">[2] R. Waser, R. Dittmann, G. Staikov, K. Szot, Redox-Based Resistive Switching Memories – Nanoionic Mechanisms, Prospects, and Challenges. Advanced Materials 21, 2632–2663 (2009).</w:t>
      </w:r>
    </w:p>
    <w:p w14:paraId="5BCF9589" w14:textId="77777777" w:rsidR="001761AA" w:rsidRDefault="001761AA">
      <w:pPr>
        <w:spacing w:after="60"/>
        <w:ind w:hanging="480"/>
        <w:divId w:val="1197347534"/>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45A88FA5" w14:textId="77777777" w:rsidR="001761AA" w:rsidRDefault="001761AA">
      <w:pPr>
        <w:spacing w:after="60"/>
        <w:ind w:hanging="480"/>
        <w:divId w:val="1197347534"/>
        <w:rPr>
          <w:rFonts w:ascii="Arial" w:hAnsi="Arial" w:cs="Arial"/>
          <w:sz w:val="18"/>
          <w:szCs w:val="18"/>
        </w:rPr>
      </w:pPr>
      <w:r>
        <w:rPr>
          <w:rFonts w:ascii="Arial" w:hAnsi="Arial" w:cs="Arial"/>
          <w:sz w:val="18"/>
          <w:szCs w:val="18"/>
        </w:rPr>
        <w:t>[4] S. Menzel, M. Waters, A. Marchewka, U. Böttger, R. Dittmann, R. Waser, Origin of the Ultra-nonlinear Switching Kinetics in Oxide-Based Resistive Switches. Advanced Functional Materials 21, 4487–4492 (2011).</w:t>
      </w:r>
    </w:p>
    <w:p w14:paraId="6E9B95D7" w14:textId="77777777" w:rsidR="001761AA" w:rsidRDefault="001761AA">
      <w:pPr>
        <w:spacing w:after="60"/>
        <w:ind w:hanging="480"/>
        <w:divId w:val="1197347534"/>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61D03E55" w14:textId="77777777" w:rsidR="001761AA" w:rsidRDefault="001761AA">
      <w:pPr>
        <w:spacing w:after="60"/>
        <w:ind w:hanging="480"/>
        <w:divId w:val="1197347534"/>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0CF42C02" w14:textId="77777777" w:rsidR="001761AA" w:rsidRDefault="001761AA">
      <w:pPr>
        <w:spacing w:after="60"/>
        <w:ind w:hanging="480"/>
        <w:divId w:val="1197347534"/>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0E48F623" w14:textId="77777777" w:rsidR="001761AA" w:rsidRDefault="001761AA">
      <w:pPr>
        <w:spacing w:after="60"/>
        <w:ind w:hanging="480"/>
        <w:divId w:val="1197347534"/>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2017530A" w14:textId="77777777" w:rsidR="001761AA" w:rsidRDefault="001761AA">
      <w:pPr>
        <w:spacing w:after="60"/>
        <w:ind w:hanging="480"/>
        <w:divId w:val="1197347534"/>
        <w:rPr>
          <w:rFonts w:ascii="Arial" w:hAnsi="Arial" w:cs="Arial"/>
          <w:sz w:val="18"/>
          <w:szCs w:val="18"/>
        </w:rPr>
      </w:pPr>
      <w:r>
        <w:rPr>
          <w:rFonts w:ascii="Arial" w:hAnsi="Arial" w:cs="Arial"/>
          <w:sz w:val="18"/>
          <w:szCs w:val="18"/>
        </w:rPr>
        <w:t>[9]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39D9748F" w14:textId="77777777" w:rsidR="001761AA" w:rsidRDefault="001761AA">
      <w:pPr>
        <w:spacing w:after="60"/>
        <w:ind w:hanging="480"/>
        <w:divId w:val="1197347534"/>
        <w:rPr>
          <w:rFonts w:ascii="Arial" w:hAnsi="Arial" w:cs="Arial"/>
          <w:sz w:val="18"/>
          <w:szCs w:val="18"/>
        </w:rPr>
      </w:pPr>
      <w:r>
        <w:rPr>
          <w:rFonts w:ascii="Arial" w:hAnsi="Arial" w:cs="Arial"/>
          <w:sz w:val="18"/>
          <w:szCs w:val="18"/>
        </w:rPr>
        <w:t>[10]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6596831" w14:textId="77777777" w:rsidR="001761AA" w:rsidRDefault="001761AA">
      <w:pPr>
        <w:spacing w:after="60"/>
        <w:ind w:hanging="480"/>
        <w:divId w:val="1197347534"/>
        <w:rPr>
          <w:rFonts w:ascii="Arial" w:hAnsi="Arial" w:cs="Arial"/>
          <w:sz w:val="18"/>
          <w:szCs w:val="18"/>
        </w:rPr>
      </w:pPr>
      <w:r>
        <w:rPr>
          <w:rFonts w:ascii="Arial" w:hAnsi="Arial" w:cs="Arial"/>
          <w:sz w:val="18"/>
          <w:szCs w:val="18"/>
        </w:rPr>
        <w:t>[11] J. Suntivich et al., Estimating Hybridization of Transition Metal and Oxygen States in Perovskites from O K-edge X-ray Absorption Spectroscopy. Journal of Physical Chemistry C 118, 1856–1863 (2014).</w:t>
      </w:r>
    </w:p>
    <w:p w14:paraId="0EFEFC44" w14:textId="77777777" w:rsidR="001761AA" w:rsidRDefault="001761AA">
      <w:pPr>
        <w:spacing w:after="60"/>
        <w:ind w:hanging="480"/>
        <w:divId w:val="1197347534"/>
        <w:rPr>
          <w:rFonts w:ascii="Arial" w:hAnsi="Arial" w:cs="Arial"/>
          <w:sz w:val="18"/>
          <w:szCs w:val="18"/>
        </w:rPr>
      </w:pPr>
      <w:r>
        <w:rPr>
          <w:rFonts w:ascii="Arial" w:hAnsi="Arial" w:cs="Arial"/>
          <w:sz w:val="18"/>
          <w:szCs w:val="18"/>
        </w:rPr>
        <w:t>[12]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672075B9" w14:textId="77777777" w:rsidR="001761AA" w:rsidRDefault="001761AA">
      <w:pPr>
        <w:spacing w:after="60"/>
        <w:ind w:hanging="480"/>
        <w:divId w:val="1197347534"/>
        <w:rPr>
          <w:rFonts w:ascii="Arial" w:hAnsi="Arial" w:cs="Arial"/>
          <w:sz w:val="18"/>
          <w:szCs w:val="18"/>
        </w:rPr>
      </w:pPr>
      <w:r>
        <w:rPr>
          <w:rFonts w:ascii="Arial" w:hAnsi="Arial" w:cs="Arial"/>
          <w:sz w:val="18"/>
          <w:szCs w:val="18"/>
        </w:rPr>
        <w:t>[13]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63511CD0" w14:textId="77777777" w:rsidR="001761AA" w:rsidRDefault="001761AA">
      <w:pPr>
        <w:spacing w:after="60"/>
        <w:ind w:hanging="480"/>
        <w:divId w:val="1197347534"/>
        <w:rPr>
          <w:rFonts w:ascii="Arial" w:hAnsi="Arial" w:cs="Arial"/>
          <w:sz w:val="18"/>
          <w:szCs w:val="18"/>
        </w:rPr>
      </w:pPr>
      <w:r>
        <w:rPr>
          <w:rFonts w:ascii="Arial" w:hAnsi="Arial" w:cs="Arial"/>
          <w:sz w:val="18"/>
          <w:szCs w:val="18"/>
        </w:rPr>
        <w:t>[14]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39CB32E7" w14:textId="77777777" w:rsidR="001761AA" w:rsidRDefault="001761AA">
      <w:pPr>
        <w:spacing w:after="60"/>
        <w:ind w:hanging="480"/>
        <w:divId w:val="1197347534"/>
        <w:rPr>
          <w:rFonts w:ascii="Arial" w:hAnsi="Arial" w:cs="Arial"/>
          <w:sz w:val="18"/>
          <w:szCs w:val="18"/>
        </w:rPr>
      </w:pPr>
      <w:r>
        <w:rPr>
          <w:rFonts w:ascii="Arial" w:hAnsi="Arial" w:cs="Arial"/>
          <w:sz w:val="18"/>
          <w:szCs w:val="18"/>
        </w:rPr>
        <w:t>[15]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436C8B81" w14:textId="77777777" w:rsidR="001761AA" w:rsidRDefault="001761AA">
      <w:pPr>
        <w:spacing w:after="60"/>
        <w:ind w:hanging="480"/>
        <w:divId w:val="1197347534"/>
        <w:rPr>
          <w:rFonts w:ascii="Arial" w:hAnsi="Arial" w:cs="Arial"/>
          <w:sz w:val="18"/>
          <w:szCs w:val="18"/>
        </w:rPr>
      </w:pPr>
      <w:r>
        <w:rPr>
          <w:rFonts w:ascii="Arial" w:hAnsi="Arial" w:cs="Arial"/>
          <w:sz w:val="18"/>
          <w:szCs w:val="18"/>
        </w:rPr>
        <w:t>[16]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3630A78F" w14:textId="77777777" w:rsidR="001761AA" w:rsidRDefault="001761AA">
      <w:pPr>
        <w:spacing w:after="60"/>
        <w:ind w:hanging="480"/>
        <w:divId w:val="1197347534"/>
        <w:rPr>
          <w:rFonts w:ascii="Arial" w:hAnsi="Arial" w:cs="Arial"/>
          <w:sz w:val="18"/>
          <w:szCs w:val="18"/>
        </w:rPr>
      </w:pPr>
      <w:r>
        <w:rPr>
          <w:rFonts w:ascii="Arial" w:hAnsi="Arial" w:cs="Arial"/>
          <w:sz w:val="18"/>
          <w:szCs w:val="18"/>
        </w:rPr>
        <w:t>[17]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0398EEAC" w14:textId="77777777" w:rsidR="001761AA" w:rsidRDefault="001761AA">
      <w:pPr>
        <w:spacing w:after="60"/>
        <w:ind w:hanging="480"/>
        <w:divId w:val="1197347534"/>
        <w:rPr>
          <w:rFonts w:ascii="Arial" w:hAnsi="Arial" w:cs="Arial"/>
          <w:sz w:val="18"/>
          <w:szCs w:val="18"/>
        </w:rPr>
      </w:pPr>
      <w:r>
        <w:rPr>
          <w:rFonts w:ascii="Arial" w:hAnsi="Arial" w:cs="Arial"/>
          <w:sz w:val="18"/>
          <w:szCs w:val="18"/>
        </w:rPr>
        <w:t>[18]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1D08E82C" w14:textId="77777777" w:rsidR="001761AA" w:rsidRDefault="001761AA">
      <w:pPr>
        <w:spacing w:after="60"/>
        <w:ind w:hanging="480"/>
        <w:divId w:val="1197347534"/>
        <w:rPr>
          <w:rFonts w:ascii="Arial" w:hAnsi="Arial" w:cs="Arial"/>
          <w:sz w:val="18"/>
          <w:szCs w:val="18"/>
        </w:rPr>
      </w:pPr>
      <w:r>
        <w:rPr>
          <w:rFonts w:ascii="Arial" w:hAnsi="Arial" w:cs="Arial"/>
          <w:sz w:val="18"/>
          <w:szCs w:val="18"/>
        </w:rPr>
        <w:t>[19] D. N. Mueller, M. L. Machala, H. Bluhm, W. C. Chueh, Redox activity of surface oxygen anions in oxygen-deficient perovskite oxides during electrochemical reactions. Nature Communications 6, 6097 (2015).</w:t>
      </w:r>
    </w:p>
    <w:p w14:paraId="79BF8F7C" w14:textId="77777777" w:rsidR="001761AA" w:rsidRDefault="001761AA">
      <w:pPr>
        <w:spacing w:after="60"/>
        <w:ind w:hanging="480"/>
        <w:divId w:val="1197347534"/>
        <w:rPr>
          <w:rFonts w:ascii="Arial" w:hAnsi="Arial" w:cs="Arial"/>
          <w:sz w:val="18"/>
          <w:szCs w:val="18"/>
        </w:rPr>
      </w:pPr>
      <w:r>
        <w:rPr>
          <w:rFonts w:ascii="Arial" w:hAnsi="Arial" w:cs="Arial"/>
          <w:sz w:val="18"/>
          <w:szCs w:val="18"/>
        </w:rPr>
        <w:t>[20]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44F08E65" w14:textId="77777777" w:rsidR="001761AA" w:rsidRDefault="001761AA">
      <w:pPr>
        <w:spacing w:after="60"/>
        <w:ind w:hanging="480"/>
        <w:divId w:val="1197347534"/>
        <w:rPr>
          <w:rFonts w:ascii="Arial" w:hAnsi="Arial" w:cs="Arial"/>
          <w:sz w:val="18"/>
          <w:szCs w:val="18"/>
        </w:rPr>
      </w:pPr>
      <w:r>
        <w:rPr>
          <w:rFonts w:ascii="Arial" w:hAnsi="Arial" w:cs="Arial"/>
          <w:sz w:val="18"/>
          <w:szCs w:val="18"/>
        </w:rPr>
        <w:t>[21] M. Wuttig et al., Revisiting the Nature of Chemical Bonding in Chalcogenides to Explain and Design their Properties. Advanced Materials 35, 2208485 (2023).</w:t>
      </w:r>
    </w:p>
    <w:p>
      <w:pPr>
        <w:spacing w:after="60"/>
        <w:ind w:hanging="480"/>
        <w:divId w:val="1197347534"/>
        <w:rPr>
          <w:rFonts w:ascii="Arial" w:hAnsi="Arial" w:cs="Arial"/>
          <w:sz w:val="18"/>
          <w:szCs w:val="18"/>
        </w:rPr>
      </w:pPr>
      <w:r>
        <w:rPr>
          <w:rFonts w:ascii="Arial" w:hAnsi="Arial" w:cs="Arial"/>
          <w:sz w:val="18"/>
          <w:szCs w:val="18"/>
        </w:rPr>
        <w:t xml:space="preserve">[22] J. A. Santana, J. T. Krogel, P. R. C. Kent, F. A. Reboredo, Diffusion quantum Monte Carlo calculations of SrFeO3 and LaFeO3. The Journal of Chemical Physics 147, 034701 (2017).</w:t>
      </w:r>
    </w:p>
    <w:p>
      <w:pPr>
        <w:spacing w:after="60"/>
        <w:ind w:hanging="480"/>
        <w:divId w:val="1197347534"/>
        <w:rPr>
          <w:rFonts w:ascii="Arial" w:hAnsi="Arial" w:cs="Arial"/>
          <w:sz w:val="18"/>
          <w:szCs w:val="18"/>
        </w:rPr>
      </w:pPr>
      <w:r>
        <w:rPr>
          <w:rFonts w:ascii="Arial" w:hAnsi="Arial" w:cs="Arial"/>
          <w:sz w:val="18"/>
          <w:szCs w:val="18"/>
        </w:rPr>
        <w:t xml:space="preserve">[23] C. Song, H. Luo, J. Xu, Y. Song, Q. Hu, Density functional theory study on conduction mechanisms in LaFeO3 nanofibers for resistive random access memory. Ionics 32, 2427–2437 (2026).</w:t>
      </w:r>
    </w:p>
    <w:p>
      <w:pPr>
        <w:spacing w:after="60"/>
        <w:ind w:hanging="480"/>
        <w:divId w:val="1197347534"/>
        <w:rPr>
          <w:rFonts w:ascii="Arial" w:hAnsi="Arial" w:cs="Arial"/>
          <w:sz w:val="18"/>
          <w:szCs w:val="18"/>
        </w:rPr>
      </w:pPr>
      <w:r>
        <w:rPr>
          <w:rFonts w:ascii="Arial" w:hAnsi="Arial" w:cs="Arial"/>
          <w:sz w:val="18"/>
          <w:szCs w:val="18"/>
        </w:rPr>
        <w:t xml:space="preserve">[24] J. Zaanen, G. A. Sawatzky, J. W. Allen, Band gaps and electronic structure of transition-metal compounds. Physical Review Letters 55, 418–421 (1985).</w:t>
      </w:r>
    </w:p>
    <w:p>
      <w:pPr>
        <w:spacing w:after="60"/>
        <w:ind w:hanging="480"/>
        <w:divId w:val="1197347534"/>
        <w:rPr>
          <w:rFonts w:ascii="Arial" w:hAnsi="Arial" w:cs="Arial"/>
          <w:sz w:val="18"/>
          <w:szCs w:val="18"/>
        </w:rPr>
      </w:pPr>
      <w:r>
        <w:rPr>
          <w:rFonts w:ascii="Arial" w:hAnsi="Arial" w:cs="Arial"/>
          <w:sz w:val="18"/>
          <w:szCs w:val="18"/>
        </w:rPr>
        <w:t xml:space="preserve">[25] A. Fujimori, F. Minami, Valence-band photoemission and optical absorption in nickel compounds. Physical Review B 30, 957–971 (1984).</w:t>
      </w:r>
    </w:p>
    <w:p>
      <w:pPr>
        <w:spacing w:after="60"/>
        <w:ind w:hanging="480"/>
        <w:divId w:val="1197347534"/>
        <w:rPr>
          <w:rFonts w:ascii="Arial" w:hAnsi="Arial" w:cs="Arial"/>
          <w:sz w:val="18"/>
          <w:szCs w:val="18"/>
        </w:rPr>
      </w:pPr>
      <w:r>
        <w:rPr>
          <w:rFonts w:ascii="Arial" w:hAnsi="Arial" w:cs="Arial"/>
          <w:sz w:val="18"/>
          <w:szCs w:val="18"/>
        </w:rPr>
        <w:t xml:space="preserve">[26] A. E. Bocquet, T. Mizokawa, T. Saitoh, H. Namatame, A. Fujimori, Electronic structure of 3d-transition-metal compounds by analysis of the 2p core-level photoemission spectra. Physical Review B 46, 3771–3784 (1992).</w:t>
      </w:r>
    </w:p>
    <w:p>
      <w:pPr>
        <w:spacing w:after="60"/>
        <w:ind w:hanging="480"/>
        <w:divId w:val="1197347534"/>
        <w:rPr>
          <w:rFonts w:ascii="Arial" w:hAnsi="Arial" w:cs="Arial"/>
          <w:sz w:val="18"/>
          <w:szCs w:val="18"/>
        </w:rPr>
      </w:pPr>
      <w:r>
        <w:rPr>
          <w:rFonts w:ascii="Arial" w:hAnsi="Arial" w:cs="Arial"/>
          <w:sz w:val="18"/>
          <w:szCs w:val="18"/>
        </w:rPr>
        <w:t xml:space="preserve">[27] T. Saitoh, A. E. Bocquet, T. Mizokawa, A. Fujimori, Systematic variation of the electronic structure of 3d transition-metal compounds. Physical Review B 52, 7934–7938 (1995).</w:t>
      </w:r>
    </w:p>
    <w:p>
      <w:pPr>
        <w:spacing w:after="60"/>
        <w:ind w:hanging="480"/>
        <w:divId w:val="1197347534"/>
        <w:rPr>
          <w:rFonts w:ascii="Arial" w:hAnsi="Arial" w:cs="Arial"/>
          <w:sz w:val="18"/>
          <w:szCs w:val="18"/>
        </w:rPr>
      </w:pPr>
      <w:r>
        <w:rPr>
          <w:rFonts w:ascii="Arial" w:hAnsi="Arial" w:cs="Arial"/>
          <w:sz w:val="18"/>
          <w:szCs w:val="18"/>
        </w:rPr>
        <w:t xml:space="preserve">[28] S. Nimkar, D. D. Sarma, H. R. Krishnamurthy, S. Ramasesha, Mean-field results of the multiple-band extended Hubbard model for the square-planar CuO2 lattice. Physical Review B 48, 7355–7363 (1993).</w:t>
      </w:r>
    </w:p>
    <w:p>
      <w:pPr>
        <w:spacing w:after="60"/>
        <w:ind w:hanging="480"/>
        <w:divId w:val="1197347534"/>
        <w:rPr>
          <w:rFonts w:ascii="Arial" w:hAnsi="Arial" w:cs="Arial"/>
          <w:sz w:val="18"/>
          <w:szCs w:val="18"/>
        </w:rPr>
      </w:pPr>
      <w:r>
        <w:rPr>
          <w:rFonts w:ascii="Arial" w:hAnsi="Arial" w:cs="Arial"/>
          <w:sz w:val="18"/>
          <w:szCs w:val="18"/>
        </w:rPr>
        <w:t xml:space="preserve">[29] F. M. F. de Groot, X-ray absorption and dichroism of transition metals and their compounds. Journal of Electron Spectroscopy and Related Phenomena 67, 529–622 (1994).</w:t>
      </w:r>
    </w:p>
    <w:p>
      <w:pPr>
        <w:spacing w:after="60"/>
        <w:ind w:hanging="480"/>
        <w:divId w:val="1197347534"/>
        <w:rPr>
          <w:rFonts w:ascii="Arial" w:hAnsi="Arial" w:cs="Arial"/>
          <w:sz w:val="18"/>
          <w:szCs w:val="18"/>
        </w:rPr>
      </w:pPr>
      <w:r>
        <w:rPr>
          <w:rFonts w:ascii="Arial" w:hAnsi="Arial" w:cs="Arial"/>
          <w:sz w:val="18"/>
          <w:szCs w:val="18"/>
        </w:rPr>
        <w:t xml:space="preserve">[30] A. E. Bocquet, A. Fujimori, T. Mizokawa, T. Saitoh, H. Namatame, S. Suga, N. Kimizuka, Y. Takeda, M. Takano, Electronic structure of SrFe4+O3 and related Fe perovskite oxides. Physical Review B 45, 1561–1570 (1992).</w:t>
      </w:r>
    </w:p>
    <w:p>
      <w:pPr>
        <w:spacing w:after="60"/>
        <w:ind w:hanging="480"/>
        <w:divId w:val="1197347534"/>
        <w:rPr>
          <w:rFonts w:ascii="Arial" w:hAnsi="Arial" w:cs="Arial"/>
          <w:sz w:val="18"/>
          <w:szCs w:val="18"/>
        </w:rPr>
      </w:pPr>
      <w:r>
        <w:rPr>
          <w:rFonts w:ascii="Arial" w:hAnsi="Arial" w:cs="Arial"/>
          <w:sz w:val="18"/>
          <w:szCs w:val="18"/>
        </w:rPr>
        <w:t xml:space="preserve">[31] D. Takegami et al., Negative charge-transfer energy in SrFeO3 revisited with hard x-ray photoemission spectroscopy. Physical Review B 109, 235138 (2024).</w:t>
      </w:r>
    </w:p>
    <w:p>
      <w:pPr>
        <w:spacing w:after="60"/>
        <w:ind w:hanging="480"/>
        <w:divId w:val="1197347534"/>
        <w:rPr>
          <w:rFonts w:ascii="Arial" w:hAnsi="Arial" w:cs="Arial"/>
          <w:sz w:val="18"/>
          <w:szCs w:val="18"/>
        </w:rPr>
      </w:pPr>
      <w:r>
        <w:rPr>
          <w:rFonts w:ascii="Arial" w:hAnsi="Arial" w:cs="Arial"/>
          <w:sz w:val="18"/>
          <w:szCs w:val="18"/>
        </w:rPr>
        <w:t xml:space="preserve">[32] H. Wadati et al., Hole-doping-induced changes in the electronic structure of La1-xSrxFeO3: soft x-ray photoemission and absorption study of epitaxial thin films. Physical Review B 71, 035108 (2005).</w:t>
      </w:r>
    </w:p>
    <w:p>
      <w:pPr>
        <w:spacing w:after="60"/>
        <w:ind w:hanging="480"/>
        <w:divId w:val="1197347534"/>
        <w:rPr>
          <w:rFonts w:ascii="Arial" w:hAnsi="Arial" w:cs="Arial"/>
          <w:sz w:val="18"/>
          <w:szCs w:val="18"/>
        </w:rPr>
      </w:pPr>
      <w:r>
        <w:rPr>
          <w:rFonts w:ascii="Arial" w:hAnsi="Arial" w:cs="Arial"/>
          <w:sz w:val="18"/>
          <w:szCs w:val="18"/>
        </w:rPr>
        <w:t xml:space="preserve">[33]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1197347534"/>
        <w:rPr>
          <w:rFonts w:ascii="Arial" w:hAnsi="Arial" w:cs="Arial"/>
          <w:sz w:val="18"/>
          <w:szCs w:val="18"/>
        </w:rPr>
      </w:pPr>
      <w:r>
        <w:rPr>
          <w:rFonts w:ascii="Arial" w:hAnsi="Arial" w:cs="Arial"/>
          <w:sz w:val="18"/>
          <w:szCs w:val="18"/>
        </w:rPr>
        <w:t xml:space="preserve">[34] M. Lorenz, H. Hochmuth, H. von Wenckstern, M. Grundmann, Flexible hardware concept of pulsed laser deposition for large areas and combinatorial composition spreads. Review of Scientific Instruments 94, 083905 (2023).</w:t>
      </w:r>
    </w:p>
    <w:p>
      <w:pPr>
        <w:spacing w:after="60"/>
        <w:ind w:hanging="480"/>
        <w:divId w:val="1197347534"/>
        <w:rPr>
          <w:rFonts w:ascii="Arial" w:hAnsi="Arial" w:cs="Arial"/>
          <w:sz w:val="18"/>
          <w:szCs w:val="18"/>
        </w:rPr>
      </w:pPr>
      <w:r>
        <w:rPr>
          <w:rFonts w:ascii="Arial" w:hAnsi="Arial" w:cs="Arial"/>
          <w:sz w:val="18"/>
          <w:szCs w:val="18"/>
        </w:rPr>
        <w:t xml:space="preserve">[35] A. Venimadhav, K. A. Yates, M. G. Blamire, Scanning Raman Spectroscopy for Characterizing Compositionally Spread Films. Journal of Combinatorial Chemistry 7, 85–89 (2005).</w:t>
      </w:r>
    </w:p>
    <w:p>
      <w:pPr>
        <w:spacing w:after="60"/>
        <w:ind w:hanging="480"/>
        <w:divId w:val="1197347534"/>
        <w:rPr>
          <w:rFonts w:ascii="Arial" w:hAnsi="Arial" w:cs="Arial"/>
          <w:sz w:val="18"/>
          <w:szCs w:val="18"/>
        </w:rPr>
      </w:pPr>
      <w:r>
        <w:rPr>
          <w:rFonts w:ascii="Arial" w:hAnsi="Arial" w:cs="Arial"/>
          <w:sz w:val="18"/>
          <w:szCs w:val="18"/>
        </w:rPr>
        <w:t xml:space="preserve">[36]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1197347534"/>
        <w:rPr>
          <w:rFonts w:ascii="Arial" w:hAnsi="Arial" w:cs="Arial"/>
          <w:sz w:val="18"/>
          <w:szCs w:val="18"/>
        </w:rPr>
      </w:pPr>
      <w:r>
        <w:rPr>
          <w:rFonts w:ascii="Arial" w:hAnsi="Arial" w:cs="Arial"/>
          <w:sz w:val="18"/>
          <w:szCs w:val="18"/>
        </w:rPr>
        <w:t xml:space="preserve">[37] D. C. Grinter, P. Ferrer, F. Venturini, M. A. van Spronsen, A. I. Large et al., VerSoX B07-B: a high-throughput XPS and ambient pressure NEXAFS beamline at Diamond Light Source. Journal of Synchrotron Radiation 31, 578–589 (2024).</w:t>
      </w:r>
    </w:p>
    <w:p>
      <w:pPr>
        <w:spacing w:after="60"/>
        <w:ind w:hanging="480"/>
        <w:divId w:val="1197347534"/>
        <w:rPr>
          <w:rFonts w:ascii="Arial" w:hAnsi="Arial" w:cs="Arial"/>
          <w:sz w:val="18"/>
          <w:szCs w:val="18"/>
        </w:rPr>
      </w:pPr>
      <w:r>
        <w:rPr>
          <w:rFonts w:ascii="Arial" w:hAnsi="Arial" w:cs="Arial"/>
          <w:sz w:val="18"/>
          <w:szCs w:val="18"/>
        </w:rPr>
        <w:t xml:space="preserve">[38] M. Tang, L. Dai, M. Cheng, Y. Zhang, Y. Wang et al., High-Throughput Screening Thickness-Dependent Resistive Switching in SrTiO3 Thin Films for Robust Electronic Synapse. Advanced Functional Materials 33, 2213874 (2023).</w:t>
      </w:r>
    </w:p>
    <w:p>
      <w:pPr>
        <w:spacing w:after="60"/>
        <w:ind w:hanging="480"/>
        <w:divId w:val="1197347534"/>
        <w:rPr>
          <w:rFonts w:ascii="Arial" w:hAnsi="Arial" w:cs="Arial"/>
          <w:sz w:val="18"/>
          <w:szCs w:val="18"/>
        </w:rPr>
      </w:pPr>
      <w:r>
        <w:rPr>
          <w:rFonts w:ascii="Arial" w:hAnsi="Arial" w:cs="Arial"/>
          <w:sz w:val="18"/>
          <w:szCs w:val="18"/>
        </w:rPr>
        <w:t xml:space="preserve">[39] S. Wicklein, A. Sambri, S. Amoruso, X. Wang, R. Bruzzese, A. Koehl, R. Dittmann, Pulsed laser ablation of complex oxides: The role of congruent ablation and preferential scattering for the film stoichiometry. Applied Physics Letters 101, 131601 (2012).</w:t>
      </w:r>
    </w:p>
    <w:p>
      <w:pPr>
        <w:spacing w:after="60"/>
        <w:ind w:hanging="480"/>
        <w:divId w:val="1197347534"/>
        <w:rPr>
          <w:rFonts w:ascii="Arial" w:hAnsi="Arial" w:cs="Arial"/>
          <w:sz w:val="18"/>
          <w:szCs w:val="18"/>
        </w:rPr>
      </w:pPr>
      <w:r>
        <w:rPr>
          <w:rFonts w:ascii="Arial" w:hAnsi="Arial" w:cs="Arial"/>
          <w:sz w:val="18"/>
          <w:szCs w:val="18"/>
        </w:rPr>
        <w:t xml:space="preserve">[40] W. C. Chueh, S. M. Haile, Electrochemical studies of capacitance in cerium oxide thin films and its relationship to anionic and electronic defect densities. Physical Chemistry Chemical Physics 11, 8144–8148 (2009).</w:t>
      </w:r>
    </w:p>
    <w:p>
      <w:pPr>
        <w:spacing w:after="60"/>
        <w:ind w:hanging="480"/>
        <w:divId w:val="1197347534"/>
        <w:rPr>
          <w:rFonts w:ascii="Arial" w:hAnsi="Arial" w:cs="Arial"/>
          <w:sz w:val="18"/>
          <w:szCs w:val="18"/>
        </w:rPr>
      </w:pPr>
      <w:r>
        <w:rPr>
          <w:rFonts w:ascii="Arial" w:hAnsi="Arial" w:cs="Arial"/>
          <w:sz w:val="18"/>
          <w:szCs w:val="18"/>
        </w:rPr>
        <w:t xml:space="preserve">[41] A. Schmid, G. M. Rupp, J. Fleig, Voltage and partial pressure dependent defect chemistry in (La,Sr)FeO3-δ thin films investigated by chemical capacitance measurements. Physical Chemistry Chemical Physics 20, 12016–12026 (2018).</w:t>
      </w:r>
    </w:p>
    <w:p>
      <w:pPr>
        <w:spacing w:after="60"/>
        <w:ind w:hanging="480"/>
        <w:divId w:val="1197347534"/>
        <w:rPr>
          <w:rFonts w:ascii="Arial" w:hAnsi="Arial" w:cs="Arial"/>
          <w:sz w:val="18"/>
          <w:szCs w:val="18"/>
        </w:rPr>
      </w:pPr>
      <w:r>
        <w:rPr>
          <w:rFonts w:ascii="Arial" w:hAnsi="Arial" w:cs="Arial"/>
          <w:sz w:val="18"/>
          <w:szCs w:val="18"/>
        </w:rPr>
        <w:t xml:space="preserve">[42] J. J. Kim, S. R. Bishop, N. J. Thompson, H. L. Tuller, Investigation of Nonstoichiometry in Oxide Thin Films by Simultaneous in Situ Optical Absorption and Chemical Capacitance Measurements: Pr-Doped Ceria, a Case Study. Chemistry of Materials 26, 1374–1379 (2014).</w:t>
      </w:r>
    </w:p>
    <w:p w14:paraId="5B938664" w14:textId="77777777" w:rsidR="001761AA" w:rsidRDefault="001761AA">
      <w:pPr>
        <w:spacing w:after="60"/>
        <w:ind w:hanging="480"/>
        <w:divId w:val="1197347534"/>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45979207" w14:textId="77777777" w:rsidR="001761AA" w:rsidRDefault="001761AA">
      <w:pPr>
        <w:spacing w:after="60"/>
        <w:ind w:hanging="480"/>
        <w:divId w:val="1197347534"/>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2C9FF5E" w14:textId="77777777" w:rsidR="001761AA" w:rsidRDefault="001761AA">
      <w:pPr>
        <w:spacing w:after="60"/>
        <w:ind w:hanging="480"/>
        <w:divId w:val="1197347534"/>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7A569768" w14:textId="77777777" w:rsidR="001761AA" w:rsidRDefault="001761AA">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21D41E61"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66FB5DF3"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4502624" w14:textId="77777777" w:rsidR="001761AA" w:rsidRDefault="001761AA">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538F136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19E26E9"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4790EA"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44011F2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E96C88"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FF563C4"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(AvH requirement: independently developed, coordinated with the host)</w:t>
            </w:r>
          </w:p>
        </w:tc>
      </w:tr>
      <w:tr w:rsidR="00000000" w14:paraId="4EBA463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1624C3"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E8D531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5373C69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23AAA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56B53E"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2236136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95879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8061D5"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1A62C52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923267"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Host’s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6A45BC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33D50CF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A314DFD"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89DC4C" w14:textId="77777777" w:rsidR="001761AA" w:rsidRDefault="001761AA">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0F5FA399" w14:textId="77777777" w:rsidR="001761AA" w:rsidRDefault="001761AA">
      <w:pPr>
        <w:pStyle w:val="Heading2"/>
        <w:rPr>
          <w:rFonts w:ascii="Arial" w:eastAsia="Times New Roman" w:hAnsi="Arial" w:cs="Arial"/>
        </w:rPr>
      </w:pPr>
      <w:r>
        <w:rPr>
          <w:rFonts w:ascii="Arial" w:eastAsia="Times New Roman" w:hAnsi="Arial" w:cs="Arial"/>
        </w:rPr>
        <w:t>Fellowship benefits (for orientation, as of 2026)</w:t>
      </w:r>
    </w:p>
    <w:p w14:paraId="6313D0B7" w14:textId="77777777" w:rsidR="001761AA" w:rsidRDefault="001761AA">
      <w:pPr>
        <w:pStyle w:val="NormalWeb"/>
        <w:rPr>
          <w:rFonts w:ascii="Arial" w:hAnsi="Arial" w:cs="Arial"/>
          <w:sz w:val="21"/>
          <w:szCs w:val="21"/>
        </w:rPr>
      </w:pPr>
      <w:r>
        <w:rPr>
          <w:rFonts w:ascii="Arial" w:hAnsi="Arial" w:cs="Arial"/>
          <w:sz w:val="21"/>
          <w:szCs w:val="21"/>
        </w:rPr>
        <w:t>Base fellowship € 2,187.50/month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1761AA">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07DB9"/>
    <w:rsid w:val="00107DB9"/>
    <w:rsid w:val="001761AA"/>
    <w:rsid w:val="004F214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74349C8"/>
  <w15:chartTrackingRefBased/>
  <w15:docId w15:val="{261E589B-C3D7-4609-A97C-0991B1F06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7347534">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2259</Words>
  <Characters>12880</Characters>
  <Application>Microsoft Office Word</Application>
  <DocSecurity>4</DocSecurity>
  <Lines>107</Lines>
  <Paragraphs>30</Paragraphs>
  <ScaleCrop>false</ScaleCrop>
  <Company/>
  <LinksUpToDate>false</LinksUpToDate>
  <CharactersWithSpaces>15109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2026-08-09T14:13:00Z</dcterms:created>
  <dcterms:modified xsi:type="dcterms:W3CDTF">2026-08-09T14:13:00Z</dcterms:modified>
</cp:coreProperties>
</file>