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series”, the applicant has grown an epitaxial LSCO composition series plus its switching-proven SrCoOx anchor – deliberately the cobaltite family whose Sr-rich end member switches under inert Au electrodes – established the O-K/Co-L covalency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covalency scale for memristive La1-xSrxCoO3-δ</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CoO</w:t>
      </w:r>
      <w:r>
        <w:rPr>
          <w:rFonts w:ascii="Arial" w:hAnsi="Arial" w:cs="Arial"/>
          <w:sz w:val="21"/>
          <w:szCs w:val="21"/>
          <w:vertAlign w:val="subscript"/>
        </w:rPr>
        <w:t xml:space="preserve">3-δ</w:t>
      </w:r>
      <w:r>
        <w:rPr>
          <w:rFonts w:ascii="Arial" w:hAnsi="Arial" w:cs="Arial"/>
          <w:sz w:val="21"/>
          <w:szCs w:val="21"/>
        </w:rPr>
        <w:t xml:space="preserve"> pilot series during the applicant’s Feodor Lynen project [E4] and is transferred here to the ferrite and manganite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