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rPr>
        <w:t xml:space="preserve">Alexander von Humboldt Foundation – Feodor Lynen Research Fellowship for Postdoctoral Researchers</w:t>
      </w:r>
    </w:p>
    <w:p>
      <w:pPr>
        <w:pStyle w:val="Title"/>
      </w:pPr>
      <w:r>
        <w:t xml:space="preserve">Application for a Feodor Lynen Research Fellowship</w:t>
      </w:r>
    </w:p>
    <w:p>
      <w:pPr>
        <w:spacing w:after="120"/>
      </w:pPr>
      <w:r>
        <w:rPr>
          <w:b/>
          <w:bCs/>
          <w:sz w:val="24"/>
          <w:szCs w:val="24"/>
        </w:rPr>
        <w:t xml:space="preserve">Covalency as an Experimental Descriptor of Memristive Switching beyond the Perovskites: the YBa2Cu3O7-δ Chain-Oxygen Series under Noble Au Electrodes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000"/>
        <w:gridCol w:w="7072"/>
      </w:tblGrid>
      <w:tr>
        <w:tc>
          <w:tcPr>
            <w:tcW w:type="dxa" w:w="2000"/>
            <w:tcMar>
              <w:top w:type="dxa" w:w="50"/>
              <w:left w:type="dxa" w:w="90"/>
              <w:bottom w:type="dxa" w:w="50"/>
              <w:right w:type="dxa" w:w="90"/>
            </w:tcMar>
          </w:tcPr>
          <w:p>
            <w:r>
              <w:rPr>
                <w:b w:val="false"/>
                <w:bCs w:val="false"/>
                <w:sz w:val="19"/>
                <w:szCs w:val="19"/>
              </w:rPr>
              <w:t xml:space="preserve">Applicant</w:t>
            </w:r>
          </w:p>
        </w:tc>
        <w:tc>
          <w:tcPr>
            <w:tcW w:type="dxa" w:w="7072"/>
            <w:tcMar>
              <w:top w:type="dxa" w:w="50"/>
              <w:left w:type="dxa" w:w="90"/>
              <w:bottom w:type="dxa" w:w="50"/>
              <w:right w:type="dxa" w:w="90"/>
            </w:tcMar>
          </w:tcPr>
          <w:p>
            <w:r>
              <w:rPr>
                <w:b w:val="false"/>
                <w:bCs w:val="false"/>
                <w:sz w:val="19"/>
                <w:szCs w:val="19"/>
              </w:rPr>
              <w:t xml:space="preserve">Dr. Max Buczek, Postdoctoral Researcher, Peter Grünberg Institute (PGI-7), Forschungszentrum Jülich, Germany</w:t>
            </w:r>
          </w:p>
        </w:tc>
      </w:tr>
      <w:tr>
        <w:tc>
          <w:tcPr>
            <w:tcW w:type="dxa" w:w="2000"/>
            <w:tcMar>
              <w:top w:type="dxa" w:w="50"/>
              <w:left w:type="dxa" w:w="90"/>
              <w:bottom w:type="dxa" w:w="50"/>
              <w:right w:type="dxa" w:w="90"/>
            </w:tcMar>
          </w:tcPr>
          <w:p>
            <w:r>
              <w:rPr>
                <w:b w:val="false"/>
                <w:bCs w:val="false"/>
                <w:sz w:val="19"/>
                <w:szCs w:val="19"/>
              </w:rPr>
              <w:t xml:space="preserve">Host</w:t>
            </w:r>
          </w:p>
        </w:tc>
        <w:tc>
          <w:tcPr>
            <w:tcW w:type="dxa" w:w="7072"/>
            <w:tcMar>
              <w:top w:type="dxa" w:w="50"/>
              <w:left w:type="dxa" w:w="90"/>
              <w:bottom w:type="dxa" w:w="50"/>
              <w:right w:type="dxa" w:w="90"/>
            </w:tcMar>
          </w:tcPr>
          <w:p>
            <w:r>
              <w:rPr>
                <w:b w:val="false"/>
                <w:bCs w:val="false"/>
                <w:sz w:val="19"/>
                <w:szCs w:val="19"/>
              </w:rPr>
              <w:t xml:space="preserve">Prof. Dr. William C. Chueh, Department of Materials Science and Engineering, Stanford University, USA – Friedrich Wilhelm Bessel Research Award winner of the AvH Foundation (2021), member of the Humboldt Network</w:t>
            </w:r>
          </w:p>
        </w:tc>
      </w:tr>
      <w:tr>
        <w:tc>
          <w:tcPr>
            <w:tcW w:type="dxa" w:w="2000"/>
            <w:tcMar>
              <w:top w:type="dxa" w:w="50"/>
              <w:left w:type="dxa" w:w="90"/>
              <w:bottom w:type="dxa" w:w="50"/>
              <w:right w:type="dxa" w:w="90"/>
            </w:tcMar>
          </w:tcPr>
          <w:p>
            <w:r>
              <w:rPr>
                <w:b w:val="false"/>
                <w:bCs w:val="false"/>
                <w:sz w:val="19"/>
                <w:szCs w:val="19"/>
              </w:rPr>
              <w:t xml:space="preserve">Host institution</w:t>
            </w:r>
          </w:p>
        </w:tc>
        <w:tc>
          <w:tcPr>
            <w:tcW w:type="dxa" w:w="7072"/>
            <w:tcMar>
              <w:top w:type="dxa" w:w="50"/>
              <w:left w:type="dxa" w:w="90"/>
              <w:bottom w:type="dxa" w:w="50"/>
              <w:right w:type="dxa" w:w="90"/>
            </w:tcMar>
          </w:tcPr>
          <w:p>
            <w:r>
              <w:rPr>
                <w:b w:val="false"/>
                <w:bCs w:val="false"/>
                <w:sz w:val="19"/>
                <w:szCs w:val="19"/>
              </w:rPr>
              <w:t xml:space="preserve">Stanford University / SLAC National Accelerator Laboratory (Stanford Synchrotron Radiation Lightsource, SSRL)</w:t>
            </w:r>
          </w:p>
        </w:tc>
      </w:tr>
      <w:tr>
        <w:tc>
          <w:tcPr>
            <w:tcW w:type="dxa" w:w="2000"/>
            <w:tcMar>
              <w:top w:type="dxa" w:w="50"/>
              <w:left w:type="dxa" w:w="90"/>
              <w:bottom w:type="dxa" w:w="50"/>
              <w:right w:type="dxa" w:w="90"/>
            </w:tcMar>
          </w:tcPr>
          <w:p>
            <w:r>
              <w:rPr>
                <w:b w:val="false"/>
                <w:bCs w:val="false"/>
                <w:sz w:val="19"/>
                <w:szCs w:val="19"/>
              </w:rPr>
              <w:t xml:space="preserve">Duration</w:t>
            </w:r>
          </w:p>
        </w:tc>
        <w:tc>
          <w:tcPr>
            <w:tcW w:type="dxa" w:w="7072"/>
            <w:tcMar>
              <w:top w:type="dxa" w:w="50"/>
              <w:left w:type="dxa" w:w="90"/>
              <w:bottom w:type="dxa" w:w="50"/>
              <w:right w:type="dxa" w:w="90"/>
            </w:tcMar>
          </w:tcPr>
          <w:p>
            <w:r>
              <w:rPr>
                <w:b w:val="false"/>
                <w:bCs w:val="false"/>
                <w:sz w:val="19"/>
                <w:szCs w:val="19"/>
              </w:rPr>
              <w:t xml:space="preserve">24 months, starting [e.g. Q2/2027; fellowship must begin 2–12 months after the selection meeting]</w:t>
            </w:r>
          </w:p>
        </w:tc>
      </w:tr>
      <w:tr>
        <w:tc>
          <w:tcPr>
            <w:tcW w:type="dxa" w:w="2000"/>
            <w:tcMar>
              <w:top w:type="dxa" w:w="50"/>
              <w:left w:type="dxa" w:w="90"/>
              <w:bottom w:type="dxa" w:w="50"/>
              <w:right w:type="dxa" w:w="90"/>
            </w:tcMar>
          </w:tcPr>
          <w:p>
            <w:r>
              <w:rPr>
                <w:b w:val="false"/>
                <w:bCs w:val="false"/>
                <w:sz w:val="19"/>
                <w:szCs w:val="19"/>
              </w:rPr>
              <w:t xml:space="preserve">Programme line</w:t>
            </w:r>
          </w:p>
        </w:tc>
        <w:tc>
          <w:tcPr>
            <w:tcW w:type="dxa" w:w="7072"/>
            <w:tcMar>
              <w:top w:type="dxa" w:w="50"/>
              <w:left w:type="dxa" w:w="90"/>
              <w:bottom w:type="dxa" w:w="50"/>
              <w:right w:type="dxa" w:w="90"/>
            </w:tcMar>
          </w:tcPr>
          <w:p>
            <w:r>
              <w:rPr>
                <w:b w:val="false"/>
                <w:bCs w:val="false"/>
                <w:sz w:val="19"/>
                <w:szCs w:val="19"/>
              </w:rPr>
              <w:t xml:space="preserve">Postdoctoral researchers (doctorate 2026, i.e. within the four-year window)</w:t>
            </w:r>
          </w:p>
        </w:tc>
      </w:tr>
      <w:tr>
        <w:tc>
          <w:tcPr>
            <w:tcW w:type="dxa" w:w="2000"/>
            <w:tcMar>
              <w:top w:type="dxa" w:w="50"/>
              <w:left w:type="dxa" w:w="90"/>
              <w:bottom w:type="dxa" w:w="50"/>
              <w:right w:type="dxa" w:w="90"/>
            </w:tcMar>
          </w:tcPr>
          <w:p>
            <w:r>
              <w:rPr>
                <w:b w:val="false"/>
                <w:bCs w:val="false"/>
                <w:sz w:val="19"/>
                <w:szCs w:val="19"/>
              </w:rPr>
              <w:t xml:space="preserve">Targeted selection round</w:t>
            </w:r>
          </w:p>
        </w:tc>
        <w:tc>
          <w:tcPr>
            <w:tcW w:type="dxa" w:w="7072"/>
            <w:tcMar>
              <w:top w:type="dxa" w:w="50"/>
              <w:left w:type="dxa" w:w="90"/>
              <w:bottom w:type="dxa" w:w="50"/>
              <w:right w:type="dxa" w:w="90"/>
            </w:tcMar>
          </w:tcPr>
          <w:p>
            <w:r>
              <w:rPr>
                <w:b w:val="false"/>
                <w:bCs w:val="false"/>
                <w:sz w:val="19"/>
                <w:szCs w:val="19"/>
              </w:rPr>
              <w:t xml:space="preserve">[February/June/October; submission recommended 4–7 months in advance]</w:t>
            </w:r>
          </w:p>
        </w:tc>
      </w:tr>
    </w:tbl>
    <w:p>
      <w:pPr>
        <w:spacing w:after="120"/>
      </w:pPr>
      <w:r>
        <w:rPr>
          <w:i/>
          <w:iCs/>
          <w:sz w:val="18"/>
          <w:szCs w:val="18"/>
        </w:rPr>
        <w:t xml:space="preserve">Note: This document contains the research proposal (exposé, max. 5 pages according to AvH requirements) and a checklist of the further application documents. The project is the 24-month nucleus, tailored to a research stay abroad, of the applicant’s longer-term research programme (Emmy Noether/ERC perspective after returning to Germany); per AvH requirements, the exposé must be coordinated with the host before submission. This material set was added on 09.08.2026 after a systematic family screening (see Materialscreening_2026-08-09) against three evidence criteria: covalency-vs-stoichiometry (XAS), EV-vs-covalency, and demonstrated switching at a noble-metal interface.</w:t>
      </w:r>
    </w:p>
    <w:p>
      <w:pPr>
        <w:pStyle w:val="Heading1"/>
        <w:spacing w:after="120" w:before="240"/>
      </w:pPr>
      <w:r>
        <w:t xml:space="preserve">Research Proposal (Exposé)</w:t>
      </w:r>
    </w:p>
    <w:p>
      <w:pPr>
        <w:pStyle w:val="Heading2"/>
        <w:spacing w:after="120" w:before="240"/>
      </w:pPr>
      <w:r>
        <w:t xml:space="preserve">1  Research question and scientific significance</w:t>
      </w:r>
    </w:p>
    <w:p>
      <w:pPr>
        <w:spacing w:after="120"/>
      </w:pPr>
      <w:r>
        <w:t xml:space="preserve">Memristive devices based on the valence change mechanism switch their resistance through field-driven redistribution of oxygen defects [1–3], with the oxygen-defect formation energy entering all quantitative models exponentially [3, 4]. Energy research has established the metal–oxygen covalency as the controlling descriptor of this energy [5–8] – but the experimental test of this link in memristive devices is missing. My project performs this test on YBa2Cu3O7-δ (YBCO): the one oxide outside the perovskite manganite/ferrite families in which all three evidence pillars of a clean descriptor study already coexist.</w:t>
      </w:r>
    </w:p>
    <w:p>
      <w:pPr>
        <w:spacing w:after="120"/>
      </w:pPr>
      <w:r>
        <w:t xml:space="preserve">(i) Covalency vs. stoichiometry is measured with unmatched precision: the site-specific, polarisation-resolved O-1s/Cu-2p XAS of YBCO resolves the doped-hole count separately for the CuO2 planes, the CuO chains and the apical oxygen as a function of oxygen content δ and cation doping [9, 10] – a level of spectroscopic resolution no perovskite series offers. The chain-oxygen content δ is continuously and reversibly tunable between 6.0 and 7.0 by annealing, making it an exceptionally fine stoichiometry axis. (ii) EV vs. site and stoichiometry is computed: DFT point-defect studies give site-resolved vacancy formation energies (chain ≈ 1.2 eV vs. plane ≈ 2.1 eV in YBa2Cu3O6.5) that depend on the oxygen content itself [14, 15]. (iii) Switching at noble interfaces is established and replicated: Au/YBCO/Au cells switch bipolar and non-volatile via interfacial oxygen-vacancy migration [11], with recent replications and mechanistic extensions from 80 to 300 K [12, 13]. The gap: all published devices are ceramic; no epitaxial, δ-controlled, statistically robust device series with simultaneous XAS covalency quantification exists. My central hypothesis: the switching figures of merit of Au/YBCO devices scale with the chain-hole covalency measured by site-resolved XAS – making YBCO the sharpest single-material test of the descriptor chain and, at the same time, the first extension of the planned “treasure map” beyond the perovskite structure family.</w:t>
      </w:r>
    </w:p>
    <w:p>
      <w:pPr>
        <w:spacing w:after="120"/>
      </w:pPr>
      <w:r>
        <w:t xml:space="preserve">Design constraints are addressed openly: below Tc ≈ 93 K superconductivity takes over (all device metrology therefore runs at ≥ 100 K and room temperature), and the ortho-ordering kinetics of the chain oxygen add a slow structural relaxation that is monitored by XRD. Both are charted boundaries, not confounders of the room-temperature descriptor study.</w:t>
      </w:r>
    </w:p>
    <w:p>
      <w:pPr>
        <w:spacing w:after="120"/>
      </w:pPr>
      <w:r>
        <w:t xml:space="preserve">Conceptual footing (sharpened after expert feedback, 08/2026): throughout this project, “covalency” is used in the quantitative sense of the charge-transfer/cluster-model framework – charge-transfer energy Δ, on-site Coulomb energy U and transfer integrals, in the Zaanen–Sawatzky–Allen classification [22] and as extracted compound by compound by the configuration-interaction analyses of Fujimori, Bocquet, Saitoh, Sarma and co-workers [23–26]. O-K pre-edge intensities serve as a relative, series-internal hybridisation measure only; their limits as an absolute covalency scale (core-hole effects, ligand-hole distribution, band effects) are treated explicitly [27], and the conflation of hybridisation with covalency that is common in the catalysis-descriptor literature is deliberately avoided – </w:t>
      </w:r>
      <w:r>
        <w:t xml:space="preserve">the descriptor scale of this project is calibrated against cluster-model analysis, not against pre-edge intensity alone. System-specific parameter status (re-screening, 09.08.2026): the CuO2-plane parameter set (Δ, Udd, tpd) is cross-validated by several independent CI analyses [28, 29]; a δ-resolved, chain/plane-separated extraction for YBCO is thin and methodologically contested – non-local screening distorts single-impurity fits [30] – which is precisely the refinement this project’s site-resolved XAS series enables.</w:t>
      </w:r>
    </w:p>
    <w:p>
      <w:pPr>
        <w:spacing w:after="120"/>
      </w:pPr>
      <w:r>
        <w:t xml:space="preserve">Methodological platform (added 08/2026) – one wafer, one map: beyond discrete samples, the composition series is realised as a single wafer carrying a continuous lateral cation-stoichiometry gradient, grown in continuous-compositional-spread mode [31] on a large-area PLD system of the type I have already used for wafer-scale memristive heterostructures [E3]; combinatorial hardware of this class covers substrates up to four inches [32], and epitaxial perovskite composition spreads are established [33]. Spatially resolved soft XAS turns such a wafer into a continuous covalency map – on-the-fly L-edge mapping of a combinatorial spread with a 0.5 mm beam has recently been demonstrated [34], and beamlines built for automated high-throughput NEXAFS exist for exactly this duty cycle [35] – while automated prober mapping of device arrays along the same gradient track yields the corresponding switching map [36]. With a 0.2–0.5 mm beam footprint on a 50 mm gradient, one wafer carries 100–250 independent composition points; the limiting quantity is the composition calibration map (XRF/WDS), not the beam. The known pitfalls are addressed by design: slit-synchronised scanning decouples composition from thickness [31], cation transfer is fluence- and pO2-sensitive and therefore calibrated per position [37], and structural quality across the wafer is mapped rather than assumed.</w:t>
      </w:r>
    </w:p>
    <w:p>
      <w:pPr>
        <w:spacing w:after="120"/>
      </w:pPr>
      <w:r>
        <w:t xml:space="preserve">The same wafer turns the weakest link of the descriptor chain into a measurement. Equilibrated at a defined oxygen partial pressure and temperature, every position adopts its own non-stoichiometry δ; mapping the transition-metal valence in the same XAS scan yields δ(x; pO2, T), and repeating this across oxidising and reducing conditions gives the reduction enthalpy ΔHred(x) – an experimentally determined vacancy-formation energy measured on the same spots, the same sample and the same growth run as the covalency descriptor. To be precise about what spectroscopy delivers: XAS gives valence, not an absolute oxygen content, so the map is calibrated against anchor points from chemical capacitance [38], chemical expansion (high-temperature XRD) or a reference of known stoichiometry; optical absorption provides a second, fully imageable δ read-out [40]. Thin-film defect chemistry of exactly this type is established for ceria films [38] and for (La,Sr)FeO3-δ films [39], and the composition-dependent reduction enthalpy of the SrTi1-xFexO3-δ solid solution is the natural validation target: if the gradient wafer reproduces that published curve, the method is proven, and only then does the co-located descriptor measurement carry weight. The covalency→EV link, which for most systems currently rests on calculation rather than experiment, thereby becomes a directly measured correlation whose predictive quality can be quantified per composition instead of asserted.</w:t>
      </w:r>
    </w:p>
    <w:p>
      <w:pPr>
        <w:spacing w:after="120"/>
      </w:pPr>
      <w:r>
        <w:t xml:space="preserve">Three constraints are taken seriously from the outset. (i) Detection under gas: total-electron yield collapses above a few mbar; Auger yield through a differentially pumped analyser carries to roughly 25 mbar and windowed fluorescence yield to ambient pressure, the latter at the price of self-absorption corrections at the transition-metal L edges. Ambient-pressure NEXAFS endstations built for this envelope exist and are combined with high-throughput operation [35]. (ii) Surface versus bulk: electron and Auger yield probe only the outer nanometres, precisely where enrichment and reconstruction may occur under high temperature and oxygen pressure, so bulk-sensitive fluorescence yield is recorded alongside and film thicknesses kept small. (iii) Radiation dose: soft-X-ray photoreduction of Ce, Mn, Fe and Co drives the valence in the same direction as the gas-induced reduction under study, so dose series, defocused fast scans and fresh-spot rastering are part of the protocol rather than an afterthought. Where electrochemical δ control is required, it needs an ion-conducting substrate stack and is therefore a deliberate choice for dedicated calibration wafers, not the default of the epitaxial gradient series. An ex-situ equilibrate-quench-measure route remains available as a fallback where δ is frozen in, which is defensible for titanates and manganites and marginal for cobaltites, ceria and YBCO.</w:t>
      </w:r>
    </w:p>
    <w:p>
      <w:pPr>
        <w:pStyle w:val="Heading2"/>
        <w:spacing w:after="120" w:before="240"/>
      </w:pPr>
      <w:r>
        <w:t xml:space="preserve">2  Why the Chueh group at Stanford is the ideal place</w:t>
      </w:r>
    </w:p>
    <w:p>
      <w:pPr>
        <w:spacing w:after="120"/>
      </w:pPr>
      <w:r>
        <w:t xml:space="preserve">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oxide thin films [18–20]. The group’s seminal work on the redox activity of oxygen anions in oxygen-deficient perovskites [19] is a direct methodological blueprint for my project; the Nature Materials study on atomically defined LaNiO3 surfaces [20] – with Christoph Baeumer from the Jülich school as first author – furthermore demonstrates that the group routinely masters epitaxial oxide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[E1–E3]. The constellation is thus a genuine two-way transfer of knowledge. For complementary epitaxial growth questions, the environment of the Stanford Institute for Materials and Energy Sciences (SIMES) at SLAC is available. As a Bessel Research Award winner (2021), Prof. Chueh is a member of the Humboldt Network and has repeatedly hosted German postdocs – the host eligibility required by the programme is given.</w:t>
      </w:r>
    </w:p>
    <w:p>
      <w:pPr>
        <w:spacing w:after="120"/>
      </w:pPr>
      <w:r>
        <w:t xml:space="preserve">[Host choice under review after first-hand feedback (08/2026): the Chueh group’s own perovskite/oxide-redox activities have largely moved on; the relevant lines are continued in alumni groups – C. Baeumer (University of Twente), Q. Lu (Westlake University), J. T. Mefford, D. Chen. If XAS quantification is the methodological core, a host with direct synchrotron access (e.g. PSI/SLS, MAX IV, Diamond, or a beamline-affiliated group) is a serious alternative. Re-validate and, if necessary, rewrite this section before submission.]</w:t>
      </w:r>
    </w:p>
    <w:p>
      <w:pPr>
        <w:pStyle w:val="Heading2"/>
        <w:spacing w:after="120" w:before="240"/>
      </w:pPr>
      <w:r>
        <w:t xml:space="preserve">3  Work programme (24 months)</w:t>
      </w:r>
    </w:p>
    <w:p>
      <w:pPr>
        <w:spacing w:after="120"/>
      </w:pPr>
      <w:r>
        <w:rPr>
          <w:b/>
          <w:bCs/>
        </w:rPr>
        <w:t xml:space="preserve">WP1 – Synthesis and descriptor measurement (months 1–10)</w:t>
      </w:r>
    </w:p>
    <w:p>
      <w:pPr>
        <w:spacing w:after="120"/>
      </w:pPr>
      <w:r>
        <w:t xml:space="preserve">PLD growth of epitaxial YBCO films on SrTiO3 and NdGaO3 in the Stanford/SLAC thin-film laboratories; δ-series (six oxygen contents between O6.4 and O7.0) set by controlled p(O2) annealing, verified by c-axis XRD and transport; structural validation (XRD/RSM, AFM). In parallel, first XAS campaign at SSRL: site-resolved O-K pre-edge quantification (plane/chain/apex following [9, 10]) and Cu-L2,3 valence analysis for every δ → experimental covalency scale of the series. Milestone M1 (month 10): validated δ-series with complete site-resolved descriptor set.</w:t>
      </w:r>
      <w:r>
        <w:t xml:space="preserve"> In parallel with the discrete samples, a gradient wafer of the same system is grown in continuous-compositional-spread mode [31, 32] and calibrated position by position (XRF/WDS composition map, XRR thickness, XRD structural quality); the discrete series remains the backbone of the analysis, the gradient wafer is the throughput accelerator and the carrier of the defect-chemical titration in WP3.</w:t>
      </w:r>
    </w:p>
    <w:p>
      <w:pPr>
        <w:spacing w:after="120"/>
      </w:pPr>
      <w:r>
        <w:rPr>
          <w:b/>
          <w:bCs/>
        </w:rPr>
        <w:t xml:space="preserve">WP2 – Devices and switching characterisation (months 8–18)</w:t>
      </w:r>
    </w:p>
    <w:p>
      <w:pPr>
        <w:spacing w:after="120"/>
      </w:pPr>
      <w:r>
        <w:t xml:space="preserve">Au-active pads (replicating the proven noble-contact geometry [11–13]) and Pt pads as second inert flavour, processed photolithographically with ≥ 30 nominally identical cells per δ; quasistatic and pulsed characterisation at 100–300 K under the statistics protocol established in my doctorate (ON/OFF, forming requirement, kinetics, retention, endurance). Milestone M2 (month 18): switching figures of merit as a function of δ, in epitaxial cells, with robust statistics – the first non-ceramic Au/YBCO device series.</w:t>
      </w:r>
    </w:p>
    <w:p>
      <w:pPr>
        <w:spacing w:after="120"/>
      </w:pPr>
      <w:r>
        <w:rPr>
          <w:b/>
          <w:bCs/>
        </w:rPr>
        <w:t xml:space="preserve">WP3 – Correlation, operando validation and publication (months 16–24)</w:t>
      </w:r>
    </w:p>
    <w:p>
      <w:pPr>
        <w:spacing w:after="120"/>
      </w:pPr>
      <w:r>
        <w:t xml:space="preserve">Correlation analysis site-resolved covalency (XAS) ↔ site-resolved EV (DFT [14, 15]) ↔ switching metrics; test of the chain-hole hypothesis. Second SSRL campaign: XAS on switched cells (ex-situ before/after, operando if successful) to verify δ-dependent VO dynamics at the Au interface. Publication of the first covalency-resolved cuprate memristor study; dataset released following FAIR principles. Milestone M3 (month 24): submitted publication(s), public dataset.</w:t>
      </w:r>
      <w:r>
        <w:t xml:space="preserve"> On the gradient wafer, the defect-chemical gas titration introduced in Section 1 is carried out: δ(x; pO2, T) from oxidising and reducing equilibria yields ΔHred(x) and thus a covalency↔EV correlation measured spot-by-spot against the descriptor on one and the same sample [35], with equilibrium and radiation-dose controls preceding any descriptor claim.</w:t>
      </w:r>
    </w:p>
    <w:p>
      <w:pPr>
        <w:pStyle w:val="Heading2"/>
        <w:spacing w:after="120" w:before="240"/>
      </w:pPr>
      <w:r>
        <w:t xml:space="preserve">4  Timeline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872"/>
        <w:gridCol w:w="775"/>
        <w:gridCol w:w="775"/>
        <w:gridCol w:w="775"/>
        <w:gridCol w:w="775"/>
        <w:gridCol w:w="775"/>
        <w:gridCol w:w="775"/>
        <w:gridCol w:w="775"/>
        <w:gridCol w:w="775"/>
      </w:tblGrid>
      <w:tr>
        <w:tc>
          <w:tcPr>
            <w:tcW w:type="dxa" w:w="2872"/>
            <w:shd w:fill="EEF1F5" w:val="clear"/>
            <w:tcMar>
              <w:top w:type="dxa" w:w="50"/>
              <w:left w:type="dxa" w:w="90"/>
              <w:bottom w:type="dxa" w:w="50"/>
              <w:right w:type="dxa" w:w="90"/>
            </w:tcMar>
          </w:tcPr>
          <w:p>
            <w:r>
              <w:rPr>
                <w:b/>
                <w:bCs/>
                <w:sz w:val="19"/>
                <w:szCs w:val="19"/>
              </w:rPr>
              <w:t xml:space="preserve">Work package</w:t>
            </w:r>
          </w:p>
        </w:tc>
        <w:tc>
          <w:tcPr>
            <w:tcW w:type="dxa" w:w="775"/>
            <w:shd w:fill="EEF1F5" w:val="clear"/>
            <w:tcMar>
              <w:top w:type="dxa" w:w="50"/>
              <w:left w:type="dxa" w:w="90"/>
              <w:bottom w:type="dxa" w:w="50"/>
              <w:right w:type="dxa" w:w="90"/>
            </w:tcMar>
          </w:tcPr>
          <w:p>
            <w:r>
              <w:rPr>
                <w:b/>
                <w:bCs/>
                <w:sz w:val="19"/>
                <w:szCs w:val="19"/>
              </w:rPr>
              <w:t xml:space="preserve">Q1</w:t>
            </w:r>
          </w:p>
        </w:tc>
        <w:tc>
          <w:tcPr>
            <w:tcW w:type="dxa" w:w="775"/>
            <w:shd w:fill="EEF1F5" w:val="clear"/>
            <w:tcMar>
              <w:top w:type="dxa" w:w="50"/>
              <w:left w:type="dxa" w:w="90"/>
              <w:bottom w:type="dxa" w:w="50"/>
              <w:right w:type="dxa" w:w="90"/>
            </w:tcMar>
          </w:tcPr>
          <w:p>
            <w:r>
              <w:rPr>
                <w:b/>
                <w:bCs/>
                <w:sz w:val="19"/>
                <w:szCs w:val="19"/>
              </w:rPr>
              <w:t xml:space="preserve">Q2</w:t>
            </w:r>
          </w:p>
        </w:tc>
        <w:tc>
          <w:tcPr>
            <w:tcW w:type="dxa" w:w="775"/>
            <w:shd w:fill="EEF1F5" w:val="clear"/>
            <w:tcMar>
              <w:top w:type="dxa" w:w="50"/>
              <w:left w:type="dxa" w:w="90"/>
              <w:bottom w:type="dxa" w:w="50"/>
              <w:right w:type="dxa" w:w="90"/>
            </w:tcMar>
          </w:tcPr>
          <w:p>
            <w:r>
              <w:rPr>
                <w:b/>
                <w:bCs/>
                <w:sz w:val="19"/>
                <w:szCs w:val="19"/>
              </w:rPr>
              <w:t xml:space="preserve">Q3</w:t>
            </w:r>
          </w:p>
        </w:tc>
        <w:tc>
          <w:tcPr>
            <w:tcW w:type="dxa" w:w="775"/>
            <w:shd w:fill="EEF1F5" w:val="clear"/>
            <w:tcMar>
              <w:top w:type="dxa" w:w="50"/>
              <w:left w:type="dxa" w:w="90"/>
              <w:bottom w:type="dxa" w:w="50"/>
              <w:right w:type="dxa" w:w="90"/>
            </w:tcMar>
          </w:tcPr>
          <w:p>
            <w:r>
              <w:rPr>
                <w:b/>
                <w:bCs/>
                <w:sz w:val="19"/>
                <w:szCs w:val="19"/>
              </w:rPr>
              <w:t xml:space="preserve">Q4</w:t>
            </w:r>
          </w:p>
        </w:tc>
        <w:tc>
          <w:tcPr>
            <w:tcW w:type="dxa" w:w="775"/>
            <w:shd w:fill="EEF1F5" w:val="clear"/>
            <w:tcMar>
              <w:top w:type="dxa" w:w="50"/>
              <w:left w:type="dxa" w:w="90"/>
              <w:bottom w:type="dxa" w:w="50"/>
              <w:right w:type="dxa" w:w="90"/>
            </w:tcMar>
          </w:tcPr>
          <w:p>
            <w:r>
              <w:rPr>
                <w:b/>
                <w:bCs/>
                <w:sz w:val="19"/>
                <w:szCs w:val="19"/>
              </w:rPr>
              <w:t xml:space="preserve">Q5</w:t>
            </w:r>
          </w:p>
        </w:tc>
        <w:tc>
          <w:tcPr>
            <w:tcW w:type="dxa" w:w="775"/>
            <w:shd w:fill="EEF1F5" w:val="clear"/>
            <w:tcMar>
              <w:top w:type="dxa" w:w="50"/>
              <w:left w:type="dxa" w:w="90"/>
              <w:bottom w:type="dxa" w:w="50"/>
              <w:right w:type="dxa" w:w="90"/>
            </w:tcMar>
          </w:tcPr>
          <w:p>
            <w:r>
              <w:rPr>
                <w:b/>
                <w:bCs/>
                <w:sz w:val="19"/>
                <w:szCs w:val="19"/>
              </w:rPr>
              <w:t xml:space="preserve">Q6</w:t>
            </w:r>
          </w:p>
        </w:tc>
        <w:tc>
          <w:tcPr>
            <w:tcW w:type="dxa" w:w="775"/>
            <w:shd w:fill="EEF1F5" w:val="clear"/>
            <w:tcMar>
              <w:top w:type="dxa" w:w="50"/>
              <w:left w:type="dxa" w:w="90"/>
              <w:bottom w:type="dxa" w:w="50"/>
              <w:right w:type="dxa" w:w="90"/>
            </w:tcMar>
          </w:tcPr>
          <w:p>
            <w:r>
              <w:rPr>
                <w:b/>
                <w:bCs/>
                <w:sz w:val="19"/>
                <w:szCs w:val="19"/>
              </w:rPr>
              <w:t xml:space="preserve">Q7</w:t>
            </w:r>
          </w:p>
        </w:tc>
        <w:tc>
          <w:tcPr>
            <w:tcW w:type="dxa" w:w="775"/>
            <w:shd w:fill="EEF1F5" w:val="clear"/>
            <w:tcMar>
              <w:top w:type="dxa" w:w="50"/>
              <w:left w:type="dxa" w:w="90"/>
              <w:bottom w:type="dxa" w:w="50"/>
              <w:right w:type="dxa" w:w="90"/>
            </w:tcMar>
          </w:tcPr>
          <w:p>
            <w:r>
              <w:rPr>
                <w:b/>
                <w:bCs/>
                <w:sz w:val="19"/>
                <w:szCs w:val="19"/>
              </w:rPr>
              <w:t xml:space="preserve">Q8</w:t>
            </w:r>
          </w:p>
        </w:tc>
      </w:tr>
      <w:tr>
        <w:tc>
          <w:tcPr>
            <w:tcW w:type="dxa" w:w="2872"/>
            <w:tcMar>
              <w:top w:type="dxa" w:w="50"/>
              <w:left w:type="dxa" w:w="90"/>
              <w:bottom w:type="dxa" w:w="50"/>
              <w:right w:type="dxa" w:w="90"/>
            </w:tcMar>
          </w:tcPr>
          <w:p>
            <w:r>
              <w:rPr>
                <w:b w:val="false"/>
                <w:bCs w:val="false"/>
                <w:sz w:val="19"/>
                <w:szCs w:val="19"/>
              </w:rPr>
              <w:t xml:space="preserve">WP1 Synthesis + XAS descriptors</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r>
      <w:tr>
        <w:tc>
          <w:tcPr>
            <w:tcW w:type="dxa" w:w="2872"/>
            <w:tcMar>
              <w:top w:type="dxa" w:w="50"/>
              <w:left w:type="dxa" w:w="90"/>
              <w:bottom w:type="dxa" w:w="50"/>
              <w:right w:type="dxa" w:w="90"/>
            </w:tcMar>
          </w:tcPr>
          <w:p>
            <w:r>
              <w:rPr>
                <w:b w:val="false"/>
                <w:bCs w:val="false"/>
                <w:sz w:val="19"/>
                <w:szCs w:val="19"/>
              </w:rPr>
              <w:t xml:space="preserve">WP2 Devices + switching statistics</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r>
      <w:tr>
        <w:tc>
          <w:tcPr>
            <w:tcW w:type="dxa" w:w="2872"/>
            <w:tcMar>
              <w:top w:type="dxa" w:w="50"/>
              <w:left w:type="dxa" w:w="90"/>
              <w:bottom w:type="dxa" w:w="50"/>
              <w:right w:type="dxa" w:w="90"/>
            </w:tcMar>
          </w:tcPr>
          <w:p>
            <w:r>
              <w:rPr>
                <w:b w:val="false"/>
                <w:bCs w:val="false"/>
                <w:sz w:val="19"/>
                <w:szCs w:val="19"/>
              </w:rPr>
              <w:t xml:space="preserve">WP3 Correlation + operando + publication</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r>
    </w:tbl>
    <w:p>
      <w:pPr>
        <w:pStyle w:val="Heading2"/>
        <w:spacing w:after="120" w:before="240"/>
      </w:pPr>
      <w:r>
        <w:t xml:space="preserve">5  Career perspective and return strategy</w:t>
      </w:r>
    </w:p>
    <w:p>
      <w:pPr>
        <w:spacing w:after="120"/>
      </w:pPr>
      <w:r>
        <w:t xml:space="preserve">The project is the deliberate building block between my doctorate (memristive devices, PLD, switching statistics) and my longer-term goal of establishing my own junior research group in Germany on descriptor-based materials development for memristive oxides (Emmy Noether proposal in preparation; ERC Starting Grant as an alternative). The stay with Prof. Chueh closes the one competence gap of my profile – quantitative synchrotron XAS and defect thermodynamics – and at the same time delivers the empirical foundation for the larger programme of a “treasure map” of memristive oxides in analogy to the bonding-descriptor maps of Wuttig et al. [21]. The choice of YBCO is deliberately map-strategic: it adds the cuprate charge-transfer bonding class and a second structure family to the descriptor map, testing whether the covalency–EV–switching correlation generalises beyond the perovskites – the decisive question for the map’s predictive claim. The return is concretely planned: reintegration into the German oxide-electronics environment (FZ Jülich/RWTH Aachen, JARA), supported by the Feodor Lynen Return Fellowship, with submission of the group proposal during the final year of the stay. The Stanford/SSRL collaboration built up abroad will be continued as the transatlantic bridge of the future group.</w:t>
      </w:r>
    </w:p>
    <w:p>
      <w:pPr>
        <w:pStyle w:val="Heading2"/>
        <w:spacing w:after="120" w:before="240"/>
      </w:pPr>
      <w:r>
        <w:t xml:space="preserve">6  References</w:t>
      </w:r>
    </w:p>
    <w:p>
      <w:pPr>
        <w:spacing w:after="120"/>
      </w:pPr>
      <w:r>
        <w:rPr>
          <w:sz w:val="18"/>
          <w:szCs w:val="18"/>
        </w:rPr>
        <w:t xml:space="preserve">[1] R. Waser, M. Aono, Nanoionics-based resistive switching memories. Nature Materials 6, 833–840 (2007).</w:t>
      </w:r>
    </w:p>
    <w:p>
      <w:pPr>
        <w:spacing w:after="120"/>
      </w:pPr>
      <w:r>
        <w:rPr>
          <w:sz w:val="18"/>
          <w:szCs w:val="18"/>
        </w:rPr>
        <w:t xml:space="preserve">[2] R. Waser, R. Dittmann, G. Staikov, K. Szot, Redox-Based Resistive Switching Memories – Nanoionic Mechanisms, Prospects, and Challenges. Advanced Materials 21, 2632–2663 (2009).</w:t>
      </w:r>
    </w:p>
    <w:p>
      <w:pPr>
        <w:spacing w:after="120"/>
      </w:pPr>
      <w:r>
        <w:rPr>
          <w:sz w:val="18"/>
          <w:szCs w:val="18"/>
        </w:rPr>
        <w:t xml:space="preserve">[3] R. Dittmann, S. Menzel, R. Waser, Nanoionic memristive phenomena in metal oxides: the valence change mechanism. Advances in Physics 70, 155–349 (2021).</w:t>
      </w:r>
    </w:p>
    <w:p>
      <w:pPr>
        <w:spacing w:after="120"/>
      </w:pPr>
      <w:r>
        <w:rPr>
          <w:sz w:val="18"/>
          <w:szCs w:val="18"/>
        </w:rPr>
        <w:t xml:space="preserve">[4] S. Menzel, M. Waters, A. Marchewka, U. Böttger, R. Dittmann, R. Waser, Origin of the Ultra-nonlinear Switching Kinetics in Oxide-Based Resistive Switches. Advanced Functional Materials 21, 4487–4492 (2011).</w:t>
      </w:r>
    </w:p>
    <w:p>
      <w:pPr>
        <w:spacing w:after="120"/>
      </w:pPr>
      <w:r>
        <w:rPr>
          <w:sz w:val="18"/>
          <w:szCs w:val="18"/>
        </w:rPr>
        <w:t xml:space="preserve">[5] Y.-L. Lee, J. Kleis, J. Rossmeisl, Y. Shao-Horn, D. Morgan, Prediction of solid oxide fuel cell cathode activity with first-principles descriptors. Energy &amp; Environmental Science 4, 3966–3970 (2011).</w:t>
      </w:r>
    </w:p>
    <w:p>
      <w:pPr>
        <w:spacing w:after="120"/>
      </w:pPr>
      <w:r>
        <w:rPr>
          <w:sz w:val="18"/>
          <w:szCs w:val="18"/>
        </w:rPr>
        <w:t xml:space="preserve">[6] R. Jacobs, J. Hwang, Y. Shao-Horn, D. Morgan, Assessing Correlations of Perovskite Catalytic Performance with Electronic Structure Descriptors. Chemistry of Materials 31, 785–797 (2019).</w:t>
      </w:r>
    </w:p>
    <w:p>
      <w:pPr>
        <w:spacing w:after="120"/>
      </w:pPr>
      <w:r>
        <w:rPr>
          <w:sz w:val="18"/>
          <w:szCs w:val="18"/>
        </w:rPr>
        <w:t xml:space="preserve">[7] A. M. Deml, V. Stevanović, C. L. Muhich, C. B. Musgrave, R. O’Hayre, Oxide enthalpy of formation and band gap energy as accurate descriptors of oxygen vacancy formation energetics. Energy &amp; Environmental Science 7, 1996–2004 (2014).</w:t>
      </w:r>
    </w:p>
    <w:p>
      <w:pPr>
        <w:spacing w:after="120"/>
      </w:pPr>
      <w:r>
        <w:rPr>
          <w:sz w:val="18"/>
          <w:szCs w:val="18"/>
        </w:rPr>
        <w:t xml:space="preserve">[8] R. B. Wexler, G. Sai Gautam, E. B. Stechel, E. A. Carter, Factors Governing Oxygen Vacancy Formation in Oxide Perovskites. Journal of the American Chemical Society 143, 13212–13227 (2021).</w:t>
      </w:r>
    </w:p>
    <w:p>
      <w:pPr>
        <w:spacing w:after="120"/>
      </w:pPr>
      <w:r>
        <w:rPr>
          <w:sz w:val="18"/>
          <w:szCs w:val="18"/>
        </w:rPr>
        <w:t xml:space="preserve">[9] N. Nücker et al., Site-specific and doping-dependent electronic structure of YBa2Cu3Ox probed by O 1s and Cu 2p x-ray-absorption spectroscopy. Physical Review B 51, 8529 (1995). [verify page range before submission]</w:t>
      </w:r>
    </w:p>
    <w:p>
      <w:pPr>
        <w:spacing w:after="120"/>
      </w:pPr>
      <w:r>
        <w:rPr>
          <w:sz w:val="18"/>
          <w:szCs w:val="18"/>
        </w:rPr>
        <w:t xml:space="preserve">[10] M. Merz et al., Site-specific X-Ray Absorption Spectroscopy of Y1-xCaxBa2Cu3O7-y: Overdoping and Role of Apical Oxygen for High-Temperature Superconductivity. Physical Review Letters 80, 5192 (1998). [verify exact title before submission]</w:t>
      </w:r>
    </w:p>
    <w:p>
      <w:pPr>
        <w:spacing w:after="120"/>
      </w:pPr>
      <w:r>
        <w:rPr>
          <w:sz w:val="18"/>
          <w:szCs w:val="18"/>
        </w:rPr>
        <w:t xml:space="preserve">[11] C. Acha, M. J. Rozenberg, Non-volatile resistive switching in the dielectric superconductor YBa2Cu3O7-δ. Journal of Physics: Condensed Matter 21, 045702 (2009).</w:t>
      </w:r>
    </w:p>
    <w:p>
      <w:pPr>
        <w:spacing w:after="120"/>
      </w:pPr>
      <w:r>
        <w:rPr>
          <w:sz w:val="18"/>
          <w:szCs w:val="18"/>
        </w:rPr>
        <w:t xml:space="preserve">[12] Switching dynamics of oxygen-vacancy memristors based on cuprate superconductors. Applied Physics Letters 127, 241602 (2025). [complete author list before submission]</w:t>
      </w:r>
    </w:p>
    <w:p>
      <w:pPr>
        <w:spacing w:after="120"/>
      </w:pPr>
      <w:r>
        <w:rPr>
          <w:sz w:val="18"/>
          <w:szCs w:val="18"/>
        </w:rPr>
        <w:t xml:space="preserve">[13] Bipolar resistive switching in Au/YBa2Cu3O7-δ devices between 80 and 300 K. ACS Applied Electronic Materials (2025), DOI 10.1021/acsaelm.5c02017. [complete citation before submission]</w:t>
      </w:r>
    </w:p>
    <w:p>
      <w:pPr>
        <w:spacing w:after="120"/>
      </w:pPr>
      <w:r>
        <w:rPr>
          <w:sz w:val="18"/>
          <w:szCs w:val="18"/>
        </w:rPr>
        <w:t xml:space="preserve">[14] First-principles study of point defects in YBa2Cu3O7. Journal of Physics Communications 4 (2020), DOI 10.1088/2399-6528/abc9a7. [complete citation before submission]</w:t>
      </w:r>
    </w:p>
    <w:p>
      <w:pPr>
        <w:spacing w:after="120"/>
      </w:pPr>
      <w:r>
        <w:rPr>
          <w:sz w:val="18"/>
          <w:szCs w:val="18"/>
        </w:rPr>
        <w:t xml:space="preserve">[15] Site-dependent oxygen-vacancy formation energies in YBa2Cu3O6.5. Journal of Applied Physics 140, 055104. [verify citation before submission]</w:t>
      </w:r>
    </w:p>
    <w:p>
      <w:pPr>
        <w:spacing w:after="120"/>
      </w:pPr>
      <w:r>
        <w:rPr>
          <w:sz w:val="18"/>
          <w:szCs w:val="18"/>
        </w:rPr>
        <w:t xml:space="preserve">[16] J. Suntivich et al., Estimating Hybridization of Transition Metal and Oxygen States in Perovskites from O K-edge X-ray Absorption Spectroscopy. Journal of Physical Chemistry C 118, 1856–1863 (2014).</w:t>
      </w:r>
    </w:p>
    <w:p>
      <w:pPr>
        <w:spacing w:after="120"/>
      </w:pPr>
      <w:r>
        <w:rPr>
          <w:sz w:val="18"/>
          <w:szCs w:val="18"/>
        </w:rPr>
        <w:t xml:space="preserve">[17] F. Frati, M. O. J. Y. Hunault, F. M. F. de Groot, Oxygen K-edge X-ray Absorption Spectra. Chemical Reviews 120, 4056–4110 (2020).</w:t>
      </w:r>
    </w:p>
    <w:p>
      <w:pPr>
        <w:spacing w:after="120"/>
      </w:pPr>
      <w:r>
        <w:rPr>
          <w:sz w:val="18"/>
          <w:szCs w:val="18"/>
        </w:rPr>
        <w:t xml:space="preserve">[18] W. C. Chueh, C. Falter, M. Abbott, D. Scipio, P. Furler, S. M. Haile, A. Steinfeld, High-Flux Solar-Driven Thermochemical Dissociation of CO2 and H2O Using Nonstoichiometric Ceria. Science 330, 1797–1801 (2010).</w:t>
      </w:r>
    </w:p>
    <w:p>
      <w:pPr>
        <w:spacing w:after="120"/>
      </w:pPr>
      <w:r>
        <w:rPr>
          <w:sz w:val="18"/>
          <w:szCs w:val="18"/>
        </w:rPr>
        <w:t xml:space="preserve">[19] D. N. Mueller, M. L. Machala, H. Bluhm, W. C. Chueh, Redox activity of surface oxygen anions in oxygen-deficient perovskite oxides during electrochemical reactions. Nature Communications 6, 6097 (2015).</w:t>
      </w:r>
    </w:p>
    <w:p>
      <w:pPr>
        <w:spacing w:after="120"/>
      </w:pPr>
      <w:r>
        <w:rPr>
          <w:sz w:val="18"/>
          <w:szCs w:val="18"/>
        </w:rPr>
        <w:t xml:space="preserve">[20] C. Baeumer, J. Li, Q. Lu et al. (with W. C. Chueh), Tuning electrochemically driven surface transformation in atomically flat LaNiO3 thin films for enhanced water electrolysis. Nature Materials 20, 674–682 (2021).</w:t>
      </w:r>
    </w:p>
    <w:p>
      <w:pPr>
        <w:spacing w:after="120"/>
      </w:pPr>
      <w:r>
        <w:rPr>
          <w:sz w:val="18"/>
          <w:szCs w:val="18"/>
        </w:rPr>
        <w:t xml:space="preserve">[21] M. Wuttig et al., Revisiting the Nature of Chemical Bonding in Chalcogenides to Explain and Design their Properties. Advanced Materials 35, 2208485 (2023).</w:t>
      </w:r>
    </w:p>
    <w:p>
      <w:pPr>
        <w:spacing w:after="120"/>
      </w:pPr>
      <w:r>
        <w:rPr>
          <w:sz w:val="18"/>
          <w:szCs w:val="18"/>
        </w:rPr>
        <w:t xml:space="preserve">[22] J. Zaanen, G. A. Sawatzky, J. W. Allen, Band gaps and electronic structure of transition-metal compounds. Physical Review Letters 55, 418–421 (1985).</w:t>
      </w:r>
    </w:p>
    <w:p>
      <w:pPr>
        <w:spacing w:after="120"/>
      </w:pPr>
      <w:r>
        <w:rPr>
          <w:sz w:val="18"/>
          <w:szCs w:val="18"/>
        </w:rPr>
        <w:t xml:space="preserve">[23] A. Fujimori, F. Minami, Valence-band photoemission and optical absorption in nickel compounds. Physical Review B 30, 957–971 (1984).</w:t>
      </w:r>
    </w:p>
    <w:p>
      <w:pPr>
        <w:spacing w:after="120"/>
      </w:pPr>
      <w:r>
        <w:rPr>
          <w:sz w:val="18"/>
          <w:szCs w:val="18"/>
        </w:rPr>
        <w:t xml:space="preserve">[24] A. E. Bocquet, T. Mizokawa, T. Saitoh, H. Namatame, A. Fujimori, Electronic structure of 3d-transition-metal compounds by analysis of the 2p core-level photoemission spectra. Physical Review B 46, 3771–3784 (1992).</w:t>
      </w:r>
    </w:p>
    <w:p>
      <w:pPr>
        <w:spacing w:after="120"/>
      </w:pPr>
      <w:r>
        <w:rPr>
          <w:sz w:val="18"/>
          <w:szCs w:val="18"/>
        </w:rPr>
        <w:t xml:space="preserve">[25] T. Saitoh, A. E. Bocquet, T. Mizokawa, A. Fujimori, Systematic variation of the electronic structure of 3d transition-metal compounds. Physical Review B 52, 7934–7938 (1995).</w:t>
      </w:r>
    </w:p>
    <w:p>
      <w:pPr>
        <w:spacing w:after="120"/>
      </w:pPr>
      <w:r>
        <w:rPr>
          <w:sz w:val="18"/>
          <w:szCs w:val="18"/>
        </w:rPr>
        <w:t xml:space="preserve">[26] S. Nimkar, D. D. Sarma, H. R. Krishnamurthy, S. Ramasesha, Mean-field results of the multiple-band extended Hubbard model for the square-planar CuO2 lattice. Physical Review B 48, 7355–7363 (1993).</w:t>
      </w:r>
    </w:p>
    <w:p>
      <w:pPr>
        <w:spacing w:after="120"/>
      </w:pPr>
      <w:r>
        <w:rPr>
          <w:sz w:val="18"/>
          <w:szCs w:val="18"/>
        </w:rPr>
        <w:t xml:space="preserve">[27] F. M. F. de Groot, X-ray absorption and dichroism of transition metals and their compounds. Journal of Electron Spectroscopy and Related Phenomena 67, 529–622 (1994).</w:t>
      </w:r>
    </w:p>
    <w:p>
      <w:pPr>
        <w:spacing w:after="120"/>
      </w:pPr>
      <w:r>
        <w:rPr>
          <w:sz w:val="18"/>
          <w:szCs w:val="18"/>
        </w:rPr>
        <w:t xml:space="preserve">[28] H. Eskes, G. A. Sawatzky, Tendency towards local spin compensation of holes in the high-Tc copper compounds. Physical Review Letters 61, 1415–1418 (1988).</w:t>
      </w:r>
    </w:p>
    <w:p>
      <w:pPr>
        <w:spacing w:after="120"/>
      </w:pPr>
      <w:r>
        <w:rPr>
          <w:sz w:val="18"/>
          <w:szCs w:val="18"/>
        </w:rPr>
        <w:t xml:space="preserve">[29] Z.-X. Shen, J. W. Allen et al., Anderson Hamiltonian description of the experimental electronic structure and magnetic interactions of copper oxide superconductors. Physical Review B 36, 8414 (1987).</w:t>
      </w:r>
    </w:p>
    <w:p>
      <w:pPr>
        <w:spacing w:after="120"/>
      </w:pPr>
      <w:r>
        <w:rPr>
          <w:sz w:val="18"/>
          <w:szCs w:val="18"/>
        </w:rPr>
        <w:t xml:space="preserve">[30] M. A. van Veenendaal, G. A. Sawatzky et al., Physical Review B 49, 3473 (1994). [nonlocal screening in Cu 2p spectra; complete citation before submission]</w:t>
      </w:r>
    </w:p>
    <w:p>
      <w:pPr>
        <w:spacing w:after="120"/>
      </w:pPr>
      <w:r>
        <w:rPr>
          <w:sz w:val="18"/>
          <w:szCs w:val="18"/>
        </w:rPr>
        <w:t xml:space="preserve">[31] H. M. Christen, C. M. Rouleau, I. Ohkubo, H. Y. Zhai, H. N. Lee, S. Sathyamurthy, D. H. Lowndes, An improved continuous compositional-spread technique based on pulsed-laser deposition and applicable to large substrate areas. Review of Scientific Instruments 74, 4058–4062 (2003).</w:t>
      </w:r>
    </w:p>
    <w:p>
      <w:pPr>
        <w:spacing w:after="120"/>
      </w:pPr>
      <w:r>
        <w:rPr>
          <w:sz w:val="18"/>
          <w:szCs w:val="18"/>
        </w:rPr>
        <w:t xml:space="preserve">[32] M. Lorenz, H. Hochmuth, H. von Wenckstern, M. Grundmann, Flexible hardware concept of pulsed laser deposition for large areas and combinatorial composition spreads. Review of Scientific Instruments 94, 083905 (2023).</w:t>
      </w:r>
    </w:p>
    <w:p>
      <w:pPr>
        <w:spacing w:after="120"/>
      </w:pPr>
      <w:r>
        <w:rPr>
          <w:sz w:val="18"/>
          <w:szCs w:val="18"/>
        </w:rPr>
        <w:t xml:space="preserve">[33] A. Venimadhav, K. A. Yates, M. G. Blamire, Scanning Raman Spectroscopy for Characterizing Compositionally Spread Films. Journal of Combinatorial Chemistry 7, 85–89 (2005).</w:t>
      </w:r>
    </w:p>
    <w:p>
      <w:pPr>
        <w:spacing w:after="120"/>
      </w:pPr>
      <w:r>
        <w:rPr>
          <w:sz w:val="18"/>
          <w:szCs w:val="18"/>
        </w:rPr>
        <w:t xml:space="preserve">[34] Y. Yamasaki, N. Sasabe, Y. Ishii, Y. Sekiguchi, A. Sumiyoshiya, Y. Tanimoto, Y. Kotani, T. Nakamura, H. Nomura, High-throughput mapping of magnetic properties via the on-the-fly XMCD spectroscopy in a combinatorial Fe-Co-Ni film. Science and Technology of Advanced Materials: Methods 5, 2544528 (2025). [volume/article number from a single source – verify before submission]</w:t>
      </w:r>
    </w:p>
    <w:p>
      <w:pPr>
        <w:spacing w:after="120"/>
      </w:pPr>
      <w:r>
        <w:rPr>
          <w:sz w:val="18"/>
          <w:szCs w:val="18"/>
        </w:rPr>
        <w:t xml:space="preserve">[35] D. C. Grinter, P. Ferrer, F. Venturini, M. A. van Spronsen, A. I. Large et al., VerSoX B07-B: a high-throughput XPS and ambient pressure NEXAFS beamline at Diamond Light Source. Journal of Synchrotron Radiation 31, 578–589 (2024).</w:t>
      </w:r>
    </w:p>
    <w:p>
      <w:pPr>
        <w:spacing w:after="120"/>
      </w:pPr>
      <w:r>
        <w:rPr>
          <w:sz w:val="18"/>
          <w:szCs w:val="18"/>
        </w:rPr>
        <w:t xml:space="preserve">[36] M. Tang, L. Dai, M. Cheng, Y. Zhang, Y. Wang et al., High-Throughput Screening Thickness-Dependent Resistive Switching in SrTiO3 Thin Films for Robust Electronic Synapse. Advanced Functional Materials 33, 2213874 (2023).</w:t>
      </w:r>
    </w:p>
    <w:p>
      <w:pPr>
        <w:spacing w:after="120"/>
      </w:pPr>
      <w:r>
        <w:rPr>
          <w:sz w:val="18"/>
          <w:szCs w:val="18"/>
        </w:rPr>
        <w:t xml:space="preserve">[37] S. Wicklein, A. Sambri, S. Amoruso, X. Wang, R. Bruzzese, A. Koehl, R. Dittmann, Pulsed laser ablation of complex oxides: The role of congruent ablation and preferential scattering for the film stoichiometry. Applied Physics Letters 101, 131601 (2012).</w:t>
      </w:r>
    </w:p>
    <w:p>
      <w:pPr>
        <w:spacing w:after="120"/>
      </w:pPr>
      <w:r>
        <w:rPr>
          <w:sz w:val="18"/>
          <w:szCs w:val="18"/>
        </w:rPr>
        <w:t xml:space="preserve">[38] W. C. Chueh, S. M. Haile, Electrochemical studies of capacitance in cerium oxide thin films and its relationship to anionic and electronic defect densities. Physical Chemistry Chemical Physics 11, 8144–8148 (2009).</w:t>
      </w:r>
    </w:p>
    <w:p>
      <w:pPr>
        <w:spacing w:after="120"/>
      </w:pPr>
      <w:r>
        <w:rPr>
          <w:sz w:val="18"/>
          <w:szCs w:val="18"/>
        </w:rPr>
        <w:t xml:space="preserve">[39] A. Schmid, G. M. Rupp, J. Fleig, Voltage and partial pressure dependent defect chemistry in (La,Sr)FeO3-δ thin films investigated by chemical capacitance measurements. Physical Chemistry Chemical Physics 20, 12016–12026 (2018).</w:t>
      </w:r>
    </w:p>
    <w:p>
      <w:pPr>
        <w:spacing w:after="120"/>
      </w:pPr>
      <w:r>
        <w:rPr>
          <w:sz w:val="18"/>
          <w:szCs w:val="18"/>
        </w:rPr>
        <w:t xml:space="preserve">[40] J. J. Kim, S. R. Bishop, N. J. Thompson, H. L. Tuller, Investigation of Nonstoichiometry in Oxide Thin Films by Simultaneous in Situ Optical Absorption and Chemical Capacitance Measurements: Pr-Doped Ceria, a Case Study. Chemistry of Materials 26, 1374–1379 (2014).</w:t>
      </w:r>
    </w:p>
    <w:p>
      <w:pPr>
        <w:spacing w:after="120"/>
      </w:pPr>
      <w:r>
        <w:rPr>
          <w:sz w:val="18"/>
          <w:szCs w:val="18"/>
        </w:rPr>
        <w:t xml:space="preserve">[E1] M. Buczek et al., Amorphous, Highly Conductive Pr0.7Ca0.3MnO3 for Area-Dependent Resistive Switching Devices. Advanced Electronic Materials (2026, accepted).</w:t>
      </w:r>
    </w:p>
    <w:p>
      <w:pPr>
        <w:spacing w:after="120"/>
      </w:pPr>
      <w:r>
        <w:rPr>
          <w:sz w:val="18"/>
          <w:szCs w:val="18"/>
        </w:rPr>
        <w:t xml:space="preserve">[E2] M. Buczek, Z. Moos, A. Gutsche, S. Menzel, R. Dittmann, Pr1-xCaxMnO3-Based Memristive Heterostructures: Basic Mechanisms and Applications. Chemical Reviews 125, 6156–6202 (2025).</w:t>
      </w:r>
    </w:p>
    <w:p>
      <w:pPr>
        <w:spacing w:after="120"/>
      </w:pPr>
      <w:r>
        <w:rPr>
          <w:sz w:val="18"/>
          <w:szCs w:val="18"/>
        </w:rPr>
        <w:t xml:space="preserve">[E3] M. Buczek et al., Large Area Pulsed Laser Deposition of Memristive Pr0.7Ca0.3MnO3 Heterostructures for Neuromorphic Computing. Thin Solid Films (2024).</w:t>
      </w:r>
    </w:p>
    <w:p>
      <w:pPr>
        <w:spacing w:after="120"/>
      </w:pPr>
      <w:r>
        <w:rPr>
          <w:sz w:val="18"/>
          <w:szCs w:val="18"/>
        </w:rPr>
        <w:t xml:space="preserve">[E4] M. Buczek, [co-authors], W. C. Chueh, [working title: A site-resolved covalency scale for noble-electrode YBa2Cu3O7-δ memristive devices]. Manuscript in preparation (Feodor Lynen fellowship; update status at submission time).</w:t>
      </w:r>
    </w:p>
    <w:p>
      <w:pPr>
        <w:pStyle w:val="Heading1"/>
        <w:spacing w:after="120" w:before="240"/>
      </w:pPr>
      <w:r>
        <w:t xml:space="preserve">Checklist of Further Application Documents (AvH online portal)</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300"/>
        <w:gridCol w:w="5772"/>
      </w:tblGrid>
      <w:tr>
        <w:tc>
          <w:tcPr>
            <w:tcW w:type="dxa" w:w="3300"/>
            <w:shd w:fill="EEF1F5" w:val="clear"/>
            <w:tcMar>
              <w:top w:type="dxa" w:w="50"/>
              <w:left w:type="dxa" w:w="90"/>
              <w:bottom w:type="dxa" w:w="50"/>
              <w:right w:type="dxa" w:w="90"/>
            </w:tcMar>
          </w:tcPr>
          <w:p>
            <w:r>
              <w:rPr>
                <w:b/>
                <w:bCs/>
                <w:sz w:val="19"/>
                <w:szCs w:val="19"/>
              </w:rPr>
              <w:t xml:space="preserve">Document</w:t>
            </w:r>
          </w:p>
        </w:tc>
        <w:tc>
          <w:tcPr>
            <w:tcW w:type="dxa" w:w="5772"/>
            <w:shd w:fill="EEF1F5" w:val="clear"/>
            <w:tcMar>
              <w:top w:type="dxa" w:w="50"/>
              <w:left w:type="dxa" w:w="90"/>
              <w:bottom w:type="dxa" w:w="50"/>
              <w:right w:type="dxa" w:w="90"/>
            </w:tcMar>
          </w:tcPr>
          <w:p>
            <w:r>
              <w:rPr>
                <w:b/>
                <w:bCs/>
                <w:sz w:val="19"/>
                <w:szCs w:val="19"/>
              </w:rPr>
              <w:t xml:space="preserve">Status / note</w:t>
            </w:r>
          </w:p>
        </w:tc>
      </w:tr>
      <w:tr>
        <w:tc>
          <w:tcPr>
            <w:tcW w:type="dxa" w:w="3300"/>
            <w:tcMar>
              <w:top w:type="dxa" w:w="50"/>
              <w:left w:type="dxa" w:w="90"/>
              <w:bottom w:type="dxa" w:w="50"/>
              <w:right w:type="dxa" w:w="90"/>
            </w:tcMar>
          </w:tcPr>
          <w:p>
            <w:r>
              <w:rPr>
                <w:b w:val="false"/>
                <w:bCs w:val="false"/>
                <w:sz w:val="19"/>
                <w:szCs w:val="19"/>
              </w:rPr>
              <w:t xml:space="preserve">Curriculum vitae (max. 2 pages)</w:t>
            </w:r>
          </w:p>
        </w:tc>
        <w:tc>
          <w:tcPr>
            <w:tcW w:type="dxa" w:w="5772"/>
            <w:tcMar>
              <w:top w:type="dxa" w:w="50"/>
              <w:left w:type="dxa" w:w="90"/>
              <w:bottom w:type="dxa" w:w="50"/>
              <w:right w:type="dxa" w:w="90"/>
            </w:tcMar>
          </w:tcPr>
          <w:p>
            <w:r>
              <w:rPr>
                <w:b w:val="false"/>
                <w:bCs w:val="false"/>
                <w:sz w:val="19"/>
                <w:szCs w:val="19"/>
              </w:rPr>
              <w:t xml:space="preserve">Condense from CV_Max_Buczek; focus: doctorate, methodological profile, publications, supervision</w:t>
            </w:r>
          </w:p>
        </w:tc>
      </w:tr>
      <w:tr>
        <w:tc>
          <w:tcPr>
            <w:tcW w:type="dxa" w:w="3300"/>
            <w:tcMar>
              <w:top w:type="dxa" w:w="50"/>
              <w:left w:type="dxa" w:w="90"/>
              <w:bottom w:type="dxa" w:w="50"/>
              <w:right w:type="dxa" w:w="90"/>
            </w:tcMar>
          </w:tcPr>
          <w:p>
            <w:r>
              <w:rPr>
                <w:b w:val="false"/>
                <w:bCs w:val="false"/>
                <w:sz w:val="19"/>
                <w:szCs w:val="19"/>
              </w:rPr>
              <w:t xml:space="preserve">Research proposal (max. 5 pages)</w:t>
            </w:r>
          </w:p>
        </w:tc>
        <w:tc>
          <w:tcPr>
            <w:tcW w:type="dxa" w:w="5772"/>
            <w:tcMar>
              <w:top w:type="dxa" w:w="50"/>
              <w:left w:type="dxa" w:w="90"/>
              <w:bottom w:type="dxa" w:w="50"/>
              <w:right w:type="dxa" w:w="90"/>
            </w:tcMar>
          </w:tcPr>
          <w:p>
            <w:r>
              <w:rPr>
                <w:b w:val="false"/>
                <w:bCs w:val="false"/>
                <w:sz w:val="19"/>
                <w:szCs w:val="19"/>
              </w:rPr>
              <w:t xml:space="preserve">This exposé – coordinate with Prof. Chueh before submission (AvH requirement: independently developed, coordinated with the host)</w:t>
            </w:r>
          </w:p>
        </w:tc>
      </w:tr>
      <w:tr>
        <w:tc>
          <w:tcPr>
            <w:tcW w:type="dxa" w:w="3300"/>
            <w:tcMar>
              <w:top w:type="dxa" w:w="50"/>
              <w:left w:type="dxa" w:w="90"/>
              <w:bottom w:type="dxa" w:w="50"/>
              <w:right w:type="dxa" w:w="90"/>
            </w:tcMar>
          </w:tcPr>
          <w:p>
            <w:r>
              <w:rPr>
                <w:b w:val="false"/>
                <w:bCs w:val="false"/>
                <w:sz w:val="19"/>
                <w:szCs w:val="19"/>
              </w:rPr>
              <w:t xml:space="preserve">Complete list of publications</w:t>
            </w:r>
          </w:p>
        </w:tc>
        <w:tc>
          <w:tcPr>
            <w:tcW w:type="dxa" w:w="5772"/>
            <w:tcMar>
              <w:top w:type="dxa" w:w="50"/>
              <w:left w:type="dxa" w:w="90"/>
              <w:bottom w:type="dxa" w:w="50"/>
              <w:right w:type="dxa" w:w="90"/>
            </w:tcMar>
          </w:tcPr>
          <w:p>
            <w:r>
              <w:rPr>
                <w:b w:val="false"/>
                <w:bCs w:val="false"/>
                <w:sz w:val="19"/>
                <w:szCs w:val="19"/>
              </w:rPr>
              <w:t xml:space="preserve">Incl. conference contributions and patent application</w:t>
            </w:r>
          </w:p>
        </w:tc>
      </w:tr>
      <w:tr>
        <w:tc>
          <w:tcPr>
            <w:tcW w:type="dxa" w:w="3300"/>
            <w:tcMar>
              <w:top w:type="dxa" w:w="50"/>
              <w:left w:type="dxa" w:w="90"/>
              <w:bottom w:type="dxa" w:w="50"/>
              <w:right w:type="dxa" w:w="90"/>
            </w:tcMar>
          </w:tcPr>
          <w:p>
            <w:r>
              <w:rPr>
                <w:b w:val="false"/>
                <w:bCs w:val="false"/>
                <w:sz w:val="19"/>
                <w:szCs w:val="19"/>
              </w:rPr>
              <w:t xml:space="preserve">1–3 key publications with justification</w:t>
            </w:r>
          </w:p>
        </w:tc>
        <w:tc>
          <w:tcPr>
            <w:tcW w:type="dxa" w:w="5772"/>
            <w:tcMar>
              <w:top w:type="dxa" w:w="50"/>
              <w:left w:type="dxa" w:w="90"/>
              <w:bottom w:type="dxa" w:w="50"/>
              <w:right w:type="dxa" w:w="90"/>
            </w:tcMar>
          </w:tcPr>
          <w:p>
            <w:r>
              <w:rPr>
                <w:b w:val="false"/>
                <w:bCs w:val="false"/>
                <w:sz w:val="19"/>
                <w:szCs w:val="19"/>
              </w:rPr>
              <w:t xml:space="preserve">Recommendation: Chem. Rev. 2025 (command of the field, first author), Adv. Electron. Mater. 2026 (device innovation), Thin Solid Films 2024 (PLD methodology)</w:t>
            </w:r>
          </w:p>
        </w:tc>
      </w:tr>
      <w:tr>
        <w:tc>
          <w:tcPr>
            <w:tcW w:type="dxa" w:w="3300"/>
            <w:tcMar>
              <w:top w:type="dxa" w:w="50"/>
              <w:left w:type="dxa" w:w="90"/>
              <w:bottom w:type="dxa" w:w="50"/>
              <w:right w:type="dxa" w:w="90"/>
            </w:tcMar>
          </w:tcPr>
          <w:p>
            <w:r>
              <w:rPr>
                <w:b w:val="false"/>
                <w:bCs w:val="false"/>
                <w:sz w:val="19"/>
                <w:szCs w:val="19"/>
              </w:rPr>
              <w:t xml:space="preserve">Doctoral certificate / proof</w:t>
            </w:r>
          </w:p>
        </w:tc>
        <w:tc>
          <w:tcPr>
            <w:tcW w:type="dxa" w:w="5772"/>
            <w:tcMar>
              <w:top w:type="dxa" w:w="50"/>
              <w:left w:type="dxa" w:w="90"/>
              <w:bottom w:type="dxa" w:w="50"/>
              <w:right w:type="dxa" w:w="90"/>
            </w:tcMar>
          </w:tcPr>
          <w:p>
            <w:r>
              <w:rPr>
                <w:b w:val="false"/>
                <w:bCs w:val="false"/>
                <w:sz w:val="19"/>
                <w:szCs w:val="19"/>
              </w:rPr>
              <w:t xml:space="preserve">If applying before completion: declaration that the dissertation will be submitted within 6 months</w:t>
            </w:r>
          </w:p>
        </w:tc>
      </w:tr>
      <w:tr>
        <w:tc>
          <w:tcPr>
            <w:tcW w:type="dxa" w:w="3300"/>
            <w:tcMar>
              <w:top w:type="dxa" w:w="50"/>
              <w:left w:type="dxa" w:w="90"/>
              <w:bottom w:type="dxa" w:w="50"/>
              <w:right w:type="dxa" w:w="90"/>
            </w:tcMar>
          </w:tcPr>
          <w:p>
            <w:r>
              <w:rPr>
                <w:b w:val="false"/>
                <w:bCs w:val="false"/>
                <w:sz w:val="19"/>
                <w:szCs w:val="19"/>
              </w:rPr>
              <w:t xml:space="preserve">Host’s statement + confirmation of research place</w:t>
            </w:r>
          </w:p>
        </w:tc>
        <w:tc>
          <w:tcPr>
            <w:tcW w:type="dxa" w:w="5772"/>
            <w:tcMar>
              <w:top w:type="dxa" w:w="50"/>
              <w:left w:type="dxa" w:w="90"/>
              <w:bottom w:type="dxa" w:w="50"/>
              <w:right w:type="dxa" w:w="90"/>
            </w:tcMar>
          </w:tcPr>
          <w:p>
            <w:r>
              <w:rPr>
                <w:b w:val="false"/>
                <w:bCs w:val="false"/>
                <w:sz w:val="19"/>
                <w:szCs w:val="19"/>
              </w:rPr>
              <w:t xml:space="preserve">Prof. Chueh uploads directly to the AvH portal; raise the host contribution (approx. 1/3 of the fellowship; USA is a contributing country) early</w:t>
            </w:r>
          </w:p>
        </w:tc>
      </w:tr>
      <w:tr>
        <w:tc>
          <w:tcPr>
            <w:tcW w:type="dxa" w:w="3300"/>
            <w:tcMar>
              <w:top w:type="dxa" w:w="50"/>
              <w:left w:type="dxa" w:w="90"/>
              <w:bottom w:type="dxa" w:w="50"/>
              <w:right w:type="dxa" w:w="90"/>
            </w:tcMar>
          </w:tcPr>
          <w:p>
            <w:r>
              <w:rPr>
                <w:b w:val="false"/>
                <w:bCs w:val="false"/>
                <w:sz w:val="19"/>
                <w:szCs w:val="19"/>
              </w:rPr>
              <w:t xml:space="preserve">Two expert reviews</w:t>
            </w:r>
          </w:p>
        </w:tc>
        <w:tc>
          <w:tcPr>
            <w:tcW w:type="dxa" w:w="5772"/>
            <w:tcMar>
              <w:top w:type="dxa" w:w="50"/>
              <w:left w:type="dxa" w:w="90"/>
              <w:bottom w:type="dxa" w:w="50"/>
              <w:right w:type="dxa" w:w="90"/>
            </w:tcMar>
          </w:tcPr>
          <w:p>
            <w:r>
              <w:rPr>
                <w:b w:val="false"/>
                <w:bCs w:val="false"/>
                <w:sz w:val="19"/>
                <w:szCs w:val="19"/>
              </w:rPr>
              <w:t xml:space="preserve">Recommendation: Prof. R. Dittmann (doctoral supervisor) + one external, preferably international referee</w:t>
            </w:r>
          </w:p>
        </w:tc>
      </w:tr>
    </w:tbl>
    <w:p>
      <w:pPr>
        <w:spacing w:after="120"/>
      </w:pPr>
      <w:r>
        <w:rPr>
          <w:i/>
          <w:iCs/>
          <w:sz w:val="18"/>
          <w:szCs w:val="18"/>
        </w:rPr>
        <w:t xml:space="preserve">Fellowship benefits (as of 2026): base fellowship € 2,187.50/month (minus host contribution) + foreign allowance USA + research cost allowance € 312.50/month + travel lump sums; afterwards optionally the Feodor Lynen Return Fellowship (up to 12 months, € 3,600/month). Applications accepted at any time; selection meetings February/June/October; success rate approx. 40 %.</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2026-08-09T17:57:15.431Z</dcterms:created>
  <dcterms:modified xsi:type="dcterms:W3CDTF">2026-08-09T17:57:15.431Z</dcterms:modified>
</cp:coreProperties>
</file>

<file path=docProps/custom.xml><?xml version="1.0" encoding="utf-8"?>
<Properties xmlns="http://schemas.openxmlformats.org/officeDocument/2006/custom-properties" xmlns:vt="http://schemas.openxmlformats.org/officeDocument/2006/docPropsVTypes"/>
</file>