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Marie Skłodowska-Curie Actions – Postdoctoral Fellowship (Global Fellowship)</w:t>
      </w:r>
    </w:p>
    <w:p>
      <w:pPr>
        <w:pStyle w:val="Title"/>
      </w:pPr>
      <w:r>
        <w:t xml:space="preserve">Covalency as an Experimental Descriptor of Memristive Switching: the Ce1-xGdxO2-δ Fluorite Series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c>
          <w:tcPr>
            <w:tcW w:type="dxa" w:w="2400"/>
            <w:shd w:fill="EEF1F5" w:val="clear"/>
            <w:tcMar>
              <w:top w:type="dxa" w:w="50"/>
              <w:left w:type="dxa" w:w="90"/>
              <w:bottom w:type="dxa" w:w="50"/>
              <w:right w:type="dxa" w:w="90"/>
            </w:tcMar>
          </w:tcPr>
          <w:p>
            <w:r>
              <w:rPr>
                <w:b/>
                <w:bCs/>
                <w:sz w:val="19"/>
                <w:szCs w:val="19"/>
              </w:rPr>
              <w:t xml:space="preserve">Applicant</w:t>
            </w:r>
          </w:p>
        </w:tc>
        <w:tc>
          <w:tcPr>
            <w:tcW w:type="dxa" w:w="6672"/>
            <w:tcMar>
              <w:top w:type="dxa" w:w="50"/>
              <w:left w:type="dxa" w:w="90"/>
              <w:bottom w:type="dxa" w:w="50"/>
              <w:right w:type="dxa" w:w="90"/>
            </w:tcMar>
          </w:tcPr>
          <w:p>
            <w:r>
              <w:rPr>
                <w:b w:val="false"/>
                <w:bCs w:val="false"/>
                <w:sz w:val="19"/>
                <w:szCs w:val="19"/>
              </w:rPr>
              <w:t xml:space="preserve">Dr. Max Buczek, Postdoctoral Researcher, Peter Grünberg Institute (PGI-7), Forschungszentrum Jülich, Germany</w:t>
            </w:r>
          </w:p>
        </w:tc>
      </w:tr>
      <w:tr>
        <w:tc>
          <w:tcPr>
            <w:tcW w:type="dxa" w:w="2400"/>
            <w:shd w:fill="EEF1F5" w:val="clear"/>
            <w:tcMar>
              <w:top w:type="dxa" w:w="50"/>
              <w:left w:type="dxa" w:w="90"/>
              <w:bottom w:type="dxa" w:w="50"/>
              <w:right w:type="dxa" w:w="90"/>
            </w:tcMar>
          </w:tcPr>
          <w:p>
            <w:r>
              <w:rPr>
                <w:b/>
                <w:bCs/>
                <w:sz w:val="19"/>
                <w:szCs w:val="19"/>
              </w:rPr>
              <w:t xml:space="preserve">Host abroad</w:t>
            </w:r>
          </w:p>
        </w:tc>
        <w:tc>
          <w:tcPr>
            <w:tcW w:type="dxa" w:w="6672"/>
            <w:tcMar>
              <w:top w:type="dxa" w:w="50"/>
              <w:left w:type="dxa" w:w="90"/>
              <w:bottom w:type="dxa" w:w="50"/>
              <w:right w:type="dxa" w:w="90"/>
            </w:tcMar>
          </w:tcPr>
          <w:p>
            <w:r>
              <w:rPr>
                <w:b w:val="false"/>
                <w:bCs w:val="false"/>
                <w:sz w:val="19"/>
                <w:szCs w:val="19"/>
              </w:rPr>
              <w:t xml:space="preserve">Prof. Dr. William C. Chueh, Department of Materials Science and Engineering, Stanford University, USA (Stanford Synchrotron Radiation Lightsource, SSRL)</w:t>
            </w:r>
          </w:p>
        </w:tc>
      </w:tr>
      <w:tr>
        <w:tc>
          <w:tcPr>
            <w:tcW w:type="dxa" w:w="2400"/>
            <w:shd w:fill="EEF1F5" w:val="clear"/>
            <w:tcMar>
              <w:top w:type="dxa" w:w="50"/>
              <w:left w:type="dxa" w:w="90"/>
              <w:bottom w:type="dxa" w:w="50"/>
              <w:right w:type="dxa" w:w="90"/>
            </w:tcMar>
          </w:tcPr>
          <w:p>
            <w:r>
              <w:rPr>
                <w:b/>
                <w:bCs/>
                <w:sz w:val="19"/>
                <w:szCs w:val="19"/>
              </w:rPr>
              <w:t xml:space="preserve">German / European host</w:t>
            </w:r>
          </w:p>
        </w:tc>
        <w:tc>
          <w:tcPr>
            <w:tcW w:type="dxa" w:w="6672"/>
            <w:tcMar>
              <w:top w:type="dxa" w:w="50"/>
              <w:left w:type="dxa" w:w="90"/>
              <w:bottom w:type="dxa" w:w="50"/>
              <w:right w:type="dxa" w:w="90"/>
            </w:tcMar>
          </w:tcPr>
          <w:p>
            <w:r>
              <w:rPr>
                <w:b w:val="false"/>
                <w:bCs w:val="false"/>
                <w:sz w:val="19"/>
                <w:szCs w:val="19"/>
              </w:rPr>
              <w:t xml:space="preserve">[RWTH Aachen University or Forschungszentrum Jülich – to be fixed; hosts the return/reintegration phase where applicable]</w:t>
            </w:r>
          </w:p>
        </w:tc>
      </w:tr>
      <w:tr>
        <w:tc>
          <w:tcPr>
            <w:tcW w:type="dxa" w:w="2400"/>
            <w:shd w:fill="EEF1F5" w:val="clear"/>
            <w:tcMar>
              <w:top w:type="dxa" w:w="50"/>
              <w:left w:type="dxa" w:w="90"/>
              <w:bottom w:type="dxa" w:w="50"/>
              <w:right w:type="dxa" w:w="90"/>
            </w:tcMar>
          </w:tcPr>
          <w:p>
            <w:r>
              <w:rPr>
                <w:b/>
                <w:bCs/>
                <w:sz w:val="19"/>
                <w:szCs w:val="19"/>
              </w:rPr>
              <w:t xml:space="preserve">Duration</w:t>
            </w:r>
          </w:p>
        </w:tc>
        <w:tc>
          <w:tcPr>
            <w:tcW w:type="dxa" w:w="6672"/>
            <w:tcMar>
              <w:top w:type="dxa" w:w="50"/>
              <w:left w:type="dxa" w:w="90"/>
              <w:bottom w:type="dxa" w:w="50"/>
              <w:right w:type="dxa" w:w="90"/>
            </w:tcMar>
          </w:tcPr>
          <w:p>
            <w:r>
              <w:rPr>
                <w:b w:val="false"/>
                <w:bCs w:val="false"/>
                <w:sz w:val="19"/>
                <w:szCs w:val="19"/>
              </w:rPr>
              <w:t xml:space="preserve">36 months (24 outgoing + 12 return)</w:t>
            </w:r>
          </w:p>
        </w:tc>
      </w:tr>
      <w:tr>
        <w:tc>
          <w:tcPr>
            <w:tcW w:type="dxa" w:w="2400"/>
            <w:shd w:fill="EEF1F5" w:val="clear"/>
            <w:tcMar>
              <w:top w:type="dxa" w:w="50"/>
              <w:left w:type="dxa" w:w="90"/>
              <w:bottom w:type="dxa" w:w="50"/>
              <w:right w:type="dxa" w:w="90"/>
            </w:tcMar>
          </w:tcPr>
          <w:p>
            <w:r>
              <w:rPr>
                <w:b/>
                <w:bCs/>
                <w:sz w:val="19"/>
                <w:szCs w:val="19"/>
              </w:rPr>
              <w:t xml:space="preserve">Format</w:t>
            </w:r>
          </w:p>
        </w:tc>
        <w:tc>
          <w:tcPr>
            <w:tcW w:type="dxa" w:w="6672"/>
            <w:tcMar>
              <w:top w:type="dxa" w:w="50"/>
              <w:left w:type="dxa" w:w="90"/>
              <w:bottom w:type="dxa" w:w="50"/>
              <w:right w:type="dxa" w:w="90"/>
            </w:tcMar>
          </w:tcPr>
          <w:p>
            <w:r>
              <w:rPr>
                <w:b w:val="false"/>
                <w:bCs w:val="false"/>
                <w:sz w:val="19"/>
                <w:szCs w:val="19"/>
              </w:rPr>
              <w:t xml:space="preserve">Global Postdoctoral Fellowship: 24-month outgoing phase at Stanford University / SLAC (third country) + mandatory 12-month return phase at the European host [FZ Jülich or RWTH Aachen as applicant/beneficiary organisation]</w:t>
            </w:r>
          </w:p>
        </w:tc>
      </w:tr>
      <w:tr>
        <w:tc>
          <w:tcPr>
            <w:tcW w:type="dxa" w:w="2400"/>
            <w:shd w:fill="EEF1F5" w:val="clear"/>
            <w:tcMar>
              <w:top w:type="dxa" w:w="50"/>
              <w:left w:type="dxa" w:w="90"/>
              <w:bottom w:type="dxa" w:w="50"/>
              <w:right w:type="dxa" w:w="90"/>
            </w:tcMar>
          </w:tcPr>
          <w:p>
            <w:r>
              <w:rPr>
                <w:b/>
                <w:bCs/>
                <w:sz w:val="19"/>
                <w:szCs w:val="19"/>
              </w:rPr>
              <w:t xml:space="preserve">Funding</w:t>
            </w:r>
          </w:p>
        </w:tc>
        <w:tc>
          <w:tcPr>
            <w:tcW w:type="dxa" w:w="6672"/>
            <w:tcMar>
              <w:top w:type="dxa" w:w="50"/>
              <w:left w:type="dxa" w:w="90"/>
              <w:bottom w:type="dxa" w:w="50"/>
              <w:right w:type="dxa" w:w="90"/>
            </w:tcMar>
          </w:tcPr>
          <w:p>
            <w:r>
              <w:rPr>
                <w:b w:val="false"/>
                <w:bCs w:val="false"/>
                <w:sz w:val="19"/>
                <w:szCs w:val="19"/>
              </w:rPr>
              <w:t xml:space="preserve">Horizon Europe unit costs: living, mobility and (if applicable) family allowances, country-corrected [insert current rates]</w:t>
            </w:r>
          </w:p>
        </w:tc>
      </w:tr>
      <w:tr>
        <w:tc>
          <w:tcPr>
            <w:tcW w:type="dxa" w:w="2400"/>
            <w:shd w:fill="EEF1F5" w:val="clear"/>
            <w:tcMar>
              <w:top w:type="dxa" w:w="50"/>
              <w:left w:type="dxa" w:w="90"/>
              <w:bottom w:type="dxa" w:w="50"/>
              <w:right w:type="dxa" w:w="90"/>
            </w:tcMar>
          </w:tcPr>
          <w:p>
            <w:r>
              <w:rPr>
                <w:b/>
                <w:bCs/>
                <w:sz w:val="19"/>
                <w:szCs w:val="19"/>
              </w:rPr>
              <w:t xml:space="preserve">Eligibility</w:t>
            </w:r>
          </w:p>
        </w:tc>
        <w:tc>
          <w:tcPr>
            <w:tcW w:type="dxa" w:w="6672"/>
            <w:tcMar>
              <w:top w:type="dxa" w:w="50"/>
              <w:left w:type="dxa" w:w="90"/>
              <w:bottom w:type="dxa" w:w="50"/>
              <w:right w:type="dxa" w:w="90"/>
            </w:tcMar>
          </w:tcPr>
          <w:p>
            <w:r>
              <w:rPr>
                <w:b w:val="false"/>
                <w:bCs w:val="false"/>
                <w:sz w:val="19"/>
                <w:szCs w:val="19"/>
              </w:rPr>
              <w:t xml:space="preserve">PhD ≤ 8 years at call deadline; MSCA mobility rule for the outgoing host country (max. 12 months in the USA within the 36 months before the deadline) [verify against personal record]</w:t>
            </w:r>
          </w:p>
        </w:tc>
      </w:tr>
      <w:tr>
        <w:tc>
          <w:tcPr>
            <w:tcW w:type="dxa" w:w="2400"/>
            <w:shd w:fill="EEF1F5" w:val="clear"/>
            <w:tcMar>
              <w:top w:type="dxa" w:w="50"/>
              <w:left w:type="dxa" w:w="90"/>
              <w:bottom w:type="dxa" w:w="50"/>
              <w:right w:type="dxa" w:w="90"/>
            </w:tcMar>
          </w:tcPr>
          <w:p>
            <w:r>
              <w:rPr>
                <w:b/>
                <w:bCs/>
                <w:sz w:val="19"/>
                <w:szCs w:val="19"/>
              </w:rPr>
              <w:t xml:space="preserve">Application</w:t>
            </w:r>
          </w:p>
        </w:tc>
        <w:tc>
          <w:tcPr>
            <w:tcW w:type="dxa" w:w="6672"/>
            <w:tcMar>
              <w:top w:type="dxa" w:w="50"/>
              <w:left w:type="dxa" w:w="90"/>
              <w:bottom w:type="dxa" w:w="50"/>
              <w:right w:type="dxa" w:w="90"/>
            </w:tcMar>
          </w:tcPr>
          <w:p>
            <w:r>
              <w:rPr>
                <w:b w:val="false"/>
                <w:bCs w:val="false"/>
                <w:sz w:val="19"/>
                <w:szCs w:val="19"/>
              </w:rPr>
              <w:t xml:space="preserve">Annual single-stage call [insert current deadline, typically September], submitted by the European host institution</w:t>
            </w:r>
          </w:p>
        </w:tc>
      </w:tr>
      <w:tr>
        <w:tc>
          <w:tcPr>
            <w:tcW w:type="dxa" w:w="2400"/>
            <w:shd w:fill="EEF1F5" w:val="clear"/>
            <w:tcMar>
              <w:top w:type="dxa" w:w="50"/>
              <w:left w:type="dxa" w:w="90"/>
              <w:bottom w:type="dxa" w:w="50"/>
              <w:right w:type="dxa" w:w="90"/>
            </w:tcMar>
          </w:tcPr>
          <w:p>
            <w:r>
              <w:rPr>
                <w:b/>
                <w:bCs/>
                <w:sz w:val="19"/>
                <w:szCs w:val="19"/>
              </w:rPr>
              <w:t xml:space="preserve">Special feature</w:t>
            </w:r>
          </w:p>
        </w:tc>
        <w:tc>
          <w:tcPr>
            <w:tcW w:type="dxa" w:w="6672"/>
            <w:tcMar>
              <w:top w:type="dxa" w:w="50"/>
              <w:left w:type="dxa" w:w="90"/>
              <w:bottom w:type="dxa" w:w="50"/>
              <w:right w:type="dxa" w:w="90"/>
            </w:tcMar>
          </w:tcPr>
          <w:p>
            <w:r>
              <w:rPr>
                <w:b w:val="false"/>
                <w:bCs w:val="false"/>
                <w:sz w:val="19"/>
                <w:szCs w:val="19"/>
              </w:rPr>
              <w:t xml:space="preserve">Explicit training, supervision and two-way knowledge-transfer requirements; funded 12-month return phase</w:t>
            </w:r>
          </w:p>
        </w:tc>
      </w:tr>
    </w:tbl>
    <w:p>
      <w:pPr>
        <w:spacing w:after="120"/>
      </w:pPr>
      <w:r>
        <w:rPr>
          <w:i/>
          <w:iCs/>
          <w:sz w:val="18"/>
          <w:szCs w:val="18"/>
        </w:rPr>
        <w:t xml:space="preserve">Standalone draft proposal for this funding line (status 09.08.2026). Only one of the parallel programme drafts of this folder will be pursued for the research stay – check each funder’s double-funding rules before submission. Materials selection follows the portfolio’s three-criterion evidence logic; all cited references are individually verified against publisher records (see Literaturpruefung_2026-08-09 and Materialscreening_2026-08-09).</w:t>
      </w:r>
    </w:p>
    <w:p>
      <w:pPr>
        <w:pStyle w:val="Heading1"/>
        <w:spacing w:after="120" w:before="240"/>
      </w:pPr>
      <w:r>
        <w:t xml:space="preserve">1  Research question and scientific significance</w:t>
      </w:r>
    </w:p>
    <w:p>
      <w:pPr>
        <w:spacing w:after="120"/>
      </w:pPr>
      <w:r>
        <w:t xml:space="preserve">Memristive devices based on the valence change mechanism switch through field-driven oxygen-vacancy redistribution [1–3], with the vacancy formation energy entering all quantitative models exponentially [3, 4]. Energy research has established the metal–oxygen bond character as the controlling descriptor of this energy [5–8]. My project tests this descriptor logic where it has never been tested: outside the perovskite class, in the fluorite oxide Ce1-xGdxO2-δ (GDC) – the system with the most mature noble-electrode device platform of any candidate screened.</w:t>
      </w:r>
    </w:p>
    <w:p>
      <w:pPr>
        <w:spacing w:after="120"/>
      </w:pPr>
      <w:r>
        <w:t xml:space="preserve">GDC is unique in that criterion 2 – switching at a noble interface – is fulfilled not just for a single composition but for a composition series in the device: Schmitt, Rupp and co-workers demonstrated Pt/Ce1-xGdxO2-δ/Pt crossbars across x = 0…0.2 and showed that the deliberately designed oxygen-vacancy configuration controls the memristive response [9], with the polaronic transport mechanism established separately [11] and a Pt/Sm-doped-ceria/Nb:SrTiO3 variant recently added [12]. The defect-chemical foundation (criterion 1b) is equally strong: vacancy formation and dopant-vacancy association energies as a function of the dopant are quantified by DFT [10], and the experimental defect chemistry of doped ceria – including Pr-doped ceria with its complete defect-equilibrium diagrams and operando spectroscopy of the Ce/Pr valence system [13, 14] – is textbook knowledge of the host group’s field. The open flank is criterion 1a, and precisely this is the project: the covalency axis of ceria runs through the Ce-4f/O-2p hybridisation and the Ce3+/Ce4+ redox couple, quantifiable by Ce-M4,5/L3 XAS and O-K spectroscopy [14, 16], but no systematic XAS descriptor series across the GDC composition range exists. My central hypothesis: the switching figures of merit of the published Pt/GDC/Pt platform scale with an XAS-measured reducibility/covalency descriptor of the Ce–O bond – and the comparison with the perovskite series of my group programme decides whether the descriptor map generalises across structure classes, which is the decisive question for its predictive claim.</w:t>
      </w:r>
    </w:p>
    <w:p>
      <w:pPr>
        <w:spacing w:after="120"/>
      </w:pPr>
      <w:r>
        <w:t xml:space="preserve">Design constraints are addressed openly: the “covalency” axis of a fluorite is of a different nature than the O-2p ligand-hole axis of the perovskites (4f localisation, polaronic transport [11]), grain boundaries can dominate transport in thin films, and Gd tunes primarily the vacancy concentration and association rather than the bond covalency itself [10]. These differences are not a weakness but the point: they make GDC the sharpest available test of which descriptor formulation – O-2p band centre, reducibility, vacancy formation enthalpy – carries across oxide classes.</w:t>
      </w:r>
    </w:p>
    <w:p>
      <w:pPr>
        <w:spacing w:after="120"/>
      </w:pPr>
      <w:r>
        <w:t xml:space="preserve">Conceptual footing (sharpened after expert feedback, 08/2026): throughout this project, “covalency” is used in the quantitative sense of the charge-transfer/cluster-model framework – charge-transfer energy Δ, on-site Coulomb energy U and transfer integrals, in the Zaanen–Sawatzky–Allen classification [21] and as extracted compound by compound by the configuration-interaction analyses of Fujimori, Bocquet, Saitoh, Sarma and co-workers [22–25]. O-K pre-edge intensities serve as a relative, series-internal hybridisation measure only; their limits as an absolute covalency scale (core-hole effects, ligand-hole distribution, band effects) are treated explicitly [26], and the conflation of hybridisation with covalency that is common in the catalysis-descriptor literature is deliberately avoided – the descriptor scale of this project is calibrated against cluster-model analysis, not against pre-edge intensity alone. System-specific parameter status (re-screening, 09.08.2026): the Anderson-impurity parameter basis of stoichiometric CeO2 is canonical [27–29], but no parameter set exists as a function of Gd content or δ – establishing the first AIM parametrisation of the GDC series is an explicit deliverable; note that ceria requires the 4f impurity framework rather than the d-electron cluster model of the perovskites, so the proposal carries two parallel parameter frameworks.</w:t>
      </w:r>
    </w:p>
    <w:p>
      <w:pPr>
        <w:spacing w:after="120"/>
      </w:pPr>
      <w:r>
        <w:t xml:space="preserve">Methodological platform (added 08/2026) – one wafer, one map: beyond discrete samples, the composition series is realised as a single wafer carrying a continuous lateral cation-stoichiometry gradient, grown in continuous-compositional-spread mode [30] on a large-area PLD system of the type I have already used for wafer-scale memristive heterostructures [E3]; combinatorial hardware of this class covers substrates up to four inches [31], and epitaxial perovskite composition spreads are established [32]. Spatially resolved soft XAS turns such a wafer into a continuous covalency map – on-the-fly L-edge mapping of a combinatorial spread with a 0.5 mm beam has recently been demonstrated [33], and beamlines built for automated high-throughput NEXAFS exist for exactly this duty cycle [34] – while automated prober mapping of device arrays along the same gradient track yields the corresponding switching map [35]. With a 0.2–0.5 mm beam footprint on a 50 mm gradient, one wafer carries 100–250 independent composition points; the limiting quantity is the composition calibration map (XRF/WDS), not the beam. The known pitfalls are addressed by design: slit-synchronised scanning decouples composition from thickness [30], cation transfer is fluence- and pO2-sensitive and therefore calibrated per position [36], and structural quality across the wafer is mapped rather than assumed.</w:t>
      </w:r>
    </w:p>
    <w:p>
      <w:pPr>
        <w:spacing w:after="120"/>
      </w:pPr>
      <w:r>
        <w:t xml:space="preserve">The same wafer turns the weakest link of the descriptor chain into a measurement. Equilibrated at a defined oxygen partial pressure and temperature, every position adopts its own non-stoichiometry δ; mapping the transition-metal valence in the same XAS scan yields δ(x; pO2, T), and repeating this across oxidising and reducing conditions gives the reduction enthalpy ΔHred(x) – an experimentally determined vacancy-formation energy measured on the same spots, the same sample and the same growth run as the covalency descriptor. To be precise about what spectroscopy delivers: XAS gives valence, not an absolute oxygen content, so the map is calibrated against anchor points from chemical capacitance [37], chemical expansion (high-temperature XRD) or a reference of known stoichiometry; optical absorption provides a second, fully imageable δ read-out [39]. Thin-film defect chemistry of exactly this type is established for ceria films [37] and for (La,Sr)FeO3-δ films [38], and the composition-dependent reduction enthalpy of the SrTi1-xFexO3-δ solid solution is the natural validation target: if the gradient wafer reproduces that published curve, the method is proven, and only then does the co-located descriptor measurement carry weight. The covalency→EV link, which for most systems currently rests on calculation rather than experiment, thereby becomes a directly measured correlation whose predictive quality can be quantified per composition instead of asserted.</w:t>
      </w:r>
    </w:p>
    <w:p>
      <w:pPr>
        <w:spacing w:after="120"/>
      </w:pPr>
      <w:r>
        <w:t xml:space="preserve">Three constraints are taken seriously from the outset. (i) Detection under gas: total-electron yield collapses above a few mbar; Auger yield through a differentially pumped analyser carries to roughly 25 mbar and windowed fluorescence yield to ambient pressure, the latter at the price of self-absorption corrections at the transition-metal L edges. Ambient-pressure NEXAFS endstations built for this envelope exist and are combined with high-throughput operation [34]. (ii) Surface versus bulk: electron and Auger yield probe only the outer nanometres, precisely where enrichment and reconstruction may occur under high temperature and oxygen pressure, so bulk-sensitive fluorescence yield is recorded alongside and film thicknesses kept small. (iii) Radiation dose: soft-X-ray photoreduction of Ce, Mn, Fe and Co drives the valence in the same direction as the gas-induced reduction under study, so dose series, defocused fast scans and fresh-spot rastering are part of the protocol rather than an afterthought. Where electrochemical δ control is required, it needs an ion-conducting substrate stack and is therefore a deliberate choice for dedicated calibration wafers, not the default of the epitaxial gradient series. An ex-situ equilibrate-quench-measure route remains available as a fallback where δ is frozen in, which is defensible for titanates and manganites and marginal for cobaltites, ceria and YBCO.</w:t>
      </w:r>
    </w:p>
    <w:p>
      <w:pPr>
        <w:pStyle w:val="Heading1"/>
        <w:spacing w:after="120" w:before="240"/>
      </w:pPr>
      <w:r>
        <w:t xml:space="preserve">2  Programme fit and strategy</w:t>
      </w:r>
    </w:p>
    <w:p>
      <w:pPr>
        <w:spacing w:after="120"/>
      </w:pPr>
      <w:r>
        <w:t xml:space="preserve">The MSCA Global Fellowship funds the project as a 24-month outgoing phase at Stanford plus a mandatory, funded 12-month return phase at the European host. The return phase institutionalises exactly what the planned group programme needs: transfer of the SSRL-proven XAS protocols to European beamlines, integration of the descriptor dataset into the map, and preparation of the ERC/Emmy Noether bid. MSCA-specific proposal sections (training objectives, supervision arrangement between Prof. Chueh and the German host, dissemination and exploitation plan, two-way transfer of knowledge) must be completed per the current template.</w:t>
      </w:r>
    </w:p>
    <w:p>
      <w:pPr>
        <w:pStyle w:val="Heading1"/>
        <w:spacing w:after="120" w:before="240"/>
      </w:pPr>
      <w:r>
        <w:t xml:space="preserve">3  Why the Chueh group at Stanford is the ideal place</w:t>
      </w:r>
    </w:p>
    <w:p>
      <w:pPr>
        <w:spacing w:after="120"/>
      </w:pPr>
      <w:r>
        <w:t xml:space="preserve">The group of Prof. William Chueh is a world leader in exactly the combination this project requires: defect chemistry and non-stoichiometry of redox-active oxides, quantitative operando X-ray absorption spectroscopy at the in-house Stanford Synchrotron Radiation Lightsource (SSRL), and redox chemistry of epitaxial oxide thin films [17–19]. The group’s seminal work on the redox activity of oxygen anions in oxygen-deficient perovskites [18] is a direct methodological blueprint for my project; the Nature Materials study on atomically defined LaNiO3 surfaces [19] – with Christoph Baeumer from the Jülich school as first author – furthermore demonstrates that the group routinely masters epitaxial oxide model systems of the type proposed here and successfully integrates German postdocs. Direct SSRL access makes XAS campaigns plannable that in Europe cost months of lead time through competitive single proposals. Complementarily, I contribute the device side, from which the Stanford environment profits in turn: PLD process development, memristive device processing and statistically robust switching characterisation from five years at the Peter Grünberg Institute (PGI-7, group of Prof. Dittmann) [E1–E3]. The constellation is thus a genuine two-way transfer of knowledge. For complementary epitaxial growth questions, the environment of the Stanford Institute for Materials and Energy Sciences (SIMES) at SLAC is available. [Host choice under review after first-hand feedback (08/2026): the Chueh group’s own perovskite/oxide-redox activities have largely moved on; the relevant lines are continued in alumni groups – C. Baeumer (University of Twente), Q. Lu (Westlake University), J. T. Mefford, D. Chen. If XAS quantification is the methodological core, a host with direct synchrotron access (e.g. PSI/SLS, MAX IV, Diamond, or a beamline-affiliated group) is a serious alternative. Re-validate and, if necessary, rewrite this section before submission.]</w:t>
      </w:r>
    </w:p>
    <w:p>
      <w:pPr>
        <w:pStyle w:val="Heading1"/>
        <w:spacing w:after="120" w:before="240"/>
      </w:pPr>
      <w:r>
        <w:t xml:space="preserve">4  Work programme</w:t>
      </w:r>
    </w:p>
    <w:p>
      <w:pPr>
        <w:spacing w:after="120"/>
      </w:pPr>
      <w:r>
        <w:rPr>
          <w:b/>
          <w:bCs/>
        </w:rPr>
        <w:t xml:space="preserve">WP1 – Synthesis and descriptor measurement (months 1–10, Stanford)</w:t>
      </w:r>
    </w:p>
    <w:p>
      <w:pPr>
        <w:spacing w:after="120"/>
      </w:pPr>
      <w:r>
        <w:t xml:space="preserve">PLD growth of epitaxial and textured Ce1-xGdxO2-δ films (x = 0; 0.05; 0.1; 0.15; 0.2, replicating the published crossbar compositions [9]) on YSZ-buffered and Nb:SrTiO3 substrates in the Stanford/SLAC thin-film laboratories; structural validation (XRD, AFM), stoichiometry (XPS, RBS where required); p(O2)-annealing protocol for δ-control. In parallel, first XAS campaign at SSRL: Ce-M4,5/L3 and O-K quantification of the Ce3+ fraction and Ce4f–O2p hybridisation for every composition and annealing state [14, 16] → the first experimental covalency/reducibility scale of the GDC series. Milestone M1 (month 10): validated sample series with complete descriptor set. In parallel with the discrete samples, a gradient wafer of the same system is grown in continuous-compositional-spread mode [30, 31] and calibrated position by position (XRF/WDS composition map, XRR thickness, XRD structural quality); the discrete series remains the backbone of the analysis, the gradient wafer is the throughput accelerator and the carrier of the defect-chemical titration in WP3.</w:t>
      </w:r>
    </w:p>
    <w:p>
      <w:pPr>
        <w:spacing w:after="120"/>
      </w:pPr>
      <w:r>
        <w:rPr>
          <w:b/>
          <w:bCs/>
        </w:rPr>
        <w:t xml:space="preserve">WP2 – Devices and switching characterisation (months 8–18, Stanford)</w:t>
      </w:r>
    </w:p>
    <w:p>
      <w:pPr>
        <w:spacing w:after="120"/>
      </w:pPr>
      <w:r>
        <w:t xml:space="preserve">Pt/GDC/Pt crossbar and pad devices replicating the published platform [9] (≥ 30 nominally identical cells per composition), plus Pt/GDC/Nb:SrTiO3 as second flavour [12]; quasistatic and pulsed characterisation under the statistics protocol established in my doctorate (ON/OFF, forming, kinetics, retention, endurance). Milestone M2 (month 18): switching figures of merit as a function of x and δ with robust statistics on the established platform.</w:t>
      </w:r>
    </w:p>
    <w:p>
      <w:pPr>
        <w:spacing w:after="120"/>
      </w:pPr>
      <w:r>
        <w:rPr>
          <w:b/>
          <w:bCs/>
        </w:rPr>
        <w:t xml:space="preserve">WP3 – Correlation, operando validation and publication (months 16–24, Stanford)</w:t>
      </w:r>
    </w:p>
    <w:p>
      <w:pPr>
        <w:spacing w:after="120"/>
      </w:pPr>
      <w:r>
        <w:t xml:space="preserve">Correlation analysis XAS descriptor ↔ defect-chemical EV/association [10, 13] ↔ switching metrics; cross-class comparison with the perovskite descriptor data of the group programme. Second SSRL campaign: XAS on switched crossbars (ex-situ before/after switching, operando if successful). Publication of the first covalency-resolved fluorite memristor study; dataset released following FAIR principles. Milestone M3 (month 24): submitted publication(s), public dataset. On the gradient wafer, the defect-chemical gas titration introduced in Section 1 is carried out: δ(x; pO2, T) from oxidising and reducing equilibria yields ΔHred(x) and thus a covalency↔EV correlation measured spot-by-spot against the descriptor on one and the same sample [34], with equilibrium and radiation-dose controls preceding any descriptor claim.</w:t>
      </w:r>
    </w:p>
    <w:p>
      <w:pPr>
        <w:spacing w:after="120"/>
      </w:pPr>
      <w:r>
        <w:rPr>
          <w:b/>
          <w:bCs/>
        </w:rPr>
        <w:t xml:space="preserve">WP4 – Return phase: European transfer and map integration (months 25–36, [RWTH Aachen / FZ Jülich])</w:t>
      </w:r>
    </w:p>
    <w:p>
      <w:pPr>
        <w:spacing w:after="120"/>
      </w:pPr>
      <w:r>
        <w:t xml:space="preserve">European beamline campaigns (BESSY II/PETRA III) transferring the SSRL-proven XAS protocols; cross-class integration of the descriptor dataset into the map; publication of the extended dataset; preparation and submission of the junior-group proposal (Emmy Noether/ERC); supervision and training plan per MSCA rules spanning both phases. Milestone M4 (month 36): map integration complete, group proposal submitted.</w:t>
      </w:r>
    </w:p>
    <w:p>
      <w:pPr>
        <w:pStyle w:val="Heading1"/>
        <w:spacing w:after="120" w:before="240"/>
      </w:pPr>
      <w:r>
        <w:t xml:space="preserve">5  Timeline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12"/>
        <w:gridCol w:w="555"/>
        <w:gridCol w:w="555"/>
        <w:gridCol w:w="555"/>
        <w:gridCol w:w="555"/>
        <w:gridCol w:w="555"/>
        <w:gridCol w:w="555"/>
        <w:gridCol w:w="555"/>
        <w:gridCol w:w="555"/>
        <w:gridCol w:w="555"/>
        <w:gridCol w:w="555"/>
        <w:gridCol w:w="555"/>
        <w:gridCol w:w="555"/>
      </w:tblGrid>
      <w:tr>
        <w:tc>
          <w:tcPr>
            <w:tcW w:type="dxa" w:w="2412"/>
            <w:shd w:fill="EEF1F5" w:val="clear"/>
            <w:tcMar>
              <w:top w:type="dxa" w:w="50"/>
              <w:left w:type="dxa" w:w="90"/>
              <w:bottom w:type="dxa" w:w="50"/>
              <w:right w:type="dxa" w:w="90"/>
            </w:tcMar>
          </w:tcPr>
          <w:p>
            <w:r>
              <w:rPr>
                <w:b/>
                <w:bCs/>
                <w:sz w:val="19"/>
                <w:szCs w:val="19"/>
              </w:rPr>
              <w:t xml:space="preserve">Work package</w:t>
            </w:r>
          </w:p>
        </w:tc>
        <w:tc>
          <w:tcPr>
            <w:tcW w:type="dxa" w:w="555"/>
            <w:shd w:fill="EEF1F5" w:val="clear"/>
            <w:tcMar>
              <w:top w:type="dxa" w:w="50"/>
              <w:left w:type="dxa" w:w="90"/>
              <w:bottom w:type="dxa" w:w="50"/>
              <w:right w:type="dxa" w:w="90"/>
            </w:tcMar>
          </w:tcPr>
          <w:p>
            <w:r>
              <w:rPr>
                <w:b/>
                <w:bCs/>
                <w:sz w:val="19"/>
                <w:szCs w:val="19"/>
              </w:rPr>
              <w:t xml:space="preserve">Q1</w:t>
            </w:r>
          </w:p>
        </w:tc>
        <w:tc>
          <w:tcPr>
            <w:tcW w:type="dxa" w:w="555"/>
            <w:shd w:fill="EEF1F5" w:val="clear"/>
            <w:tcMar>
              <w:top w:type="dxa" w:w="50"/>
              <w:left w:type="dxa" w:w="90"/>
              <w:bottom w:type="dxa" w:w="50"/>
              <w:right w:type="dxa" w:w="90"/>
            </w:tcMar>
          </w:tcPr>
          <w:p>
            <w:r>
              <w:rPr>
                <w:b/>
                <w:bCs/>
                <w:sz w:val="19"/>
                <w:szCs w:val="19"/>
              </w:rPr>
              <w:t xml:space="preserve">Q2</w:t>
            </w:r>
          </w:p>
        </w:tc>
        <w:tc>
          <w:tcPr>
            <w:tcW w:type="dxa" w:w="555"/>
            <w:shd w:fill="EEF1F5" w:val="clear"/>
            <w:tcMar>
              <w:top w:type="dxa" w:w="50"/>
              <w:left w:type="dxa" w:w="90"/>
              <w:bottom w:type="dxa" w:w="50"/>
              <w:right w:type="dxa" w:w="90"/>
            </w:tcMar>
          </w:tcPr>
          <w:p>
            <w:r>
              <w:rPr>
                <w:b/>
                <w:bCs/>
                <w:sz w:val="19"/>
                <w:szCs w:val="19"/>
              </w:rPr>
              <w:t xml:space="preserve">Q3</w:t>
            </w:r>
          </w:p>
        </w:tc>
        <w:tc>
          <w:tcPr>
            <w:tcW w:type="dxa" w:w="555"/>
            <w:shd w:fill="EEF1F5" w:val="clear"/>
            <w:tcMar>
              <w:top w:type="dxa" w:w="50"/>
              <w:left w:type="dxa" w:w="90"/>
              <w:bottom w:type="dxa" w:w="50"/>
              <w:right w:type="dxa" w:w="90"/>
            </w:tcMar>
          </w:tcPr>
          <w:p>
            <w:r>
              <w:rPr>
                <w:b/>
                <w:bCs/>
                <w:sz w:val="19"/>
                <w:szCs w:val="19"/>
              </w:rPr>
              <w:t xml:space="preserve">Q4</w:t>
            </w:r>
          </w:p>
        </w:tc>
        <w:tc>
          <w:tcPr>
            <w:tcW w:type="dxa" w:w="555"/>
            <w:shd w:fill="EEF1F5" w:val="clear"/>
            <w:tcMar>
              <w:top w:type="dxa" w:w="50"/>
              <w:left w:type="dxa" w:w="90"/>
              <w:bottom w:type="dxa" w:w="50"/>
              <w:right w:type="dxa" w:w="90"/>
            </w:tcMar>
          </w:tcPr>
          <w:p>
            <w:r>
              <w:rPr>
                <w:b/>
                <w:bCs/>
                <w:sz w:val="19"/>
                <w:szCs w:val="19"/>
              </w:rPr>
              <w:t xml:space="preserve">Q5</w:t>
            </w:r>
          </w:p>
        </w:tc>
        <w:tc>
          <w:tcPr>
            <w:tcW w:type="dxa" w:w="555"/>
            <w:shd w:fill="EEF1F5" w:val="clear"/>
            <w:tcMar>
              <w:top w:type="dxa" w:w="50"/>
              <w:left w:type="dxa" w:w="90"/>
              <w:bottom w:type="dxa" w:w="50"/>
              <w:right w:type="dxa" w:w="90"/>
            </w:tcMar>
          </w:tcPr>
          <w:p>
            <w:r>
              <w:rPr>
                <w:b/>
                <w:bCs/>
                <w:sz w:val="19"/>
                <w:szCs w:val="19"/>
              </w:rPr>
              <w:t xml:space="preserve">Q6</w:t>
            </w:r>
          </w:p>
        </w:tc>
        <w:tc>
          <w:tcPr>
            <w:tcW w:type="dxa" w:w="555"/>
            <w:shd w:fill="EEF1F5" w:val="clear"/>
            <w:tcMar>
              <w:top w:type="dxa" w:w="50"/>
              <w:left w:type="dxa" w:w="90"/>
              <w:bottom w:type="dxa" w:w="50"/>
              <w:right w:type="dxa" w:w="90"/>
            </w:tcMar>
          </w:tcPr>
          <w:p>
            <w:r>
              <w:rPr>
                <w:b/>
                <w:bCs/>
                <w:sz w:val="19"/>
                <w:szCs w:val="19"/>
              </w:rPr>
              <w:t xml:space="preserve">Q7</w:t>
            </w:r>
          </w:p>
        </w:tc>
        <w:tc>
          <w:tcPr>
            <w:tcW w:type="dxa" w:w="555"/>
            <w:shd w:fill="EEF1F5" w:val="clear"/>
            <w:tcMar>
              <w:top w:type="dxa" w:w="50"/>
              <w:left w:type="dxa" w:w="90"/>
              <w:bottom w:type="dxa" w:w="50"/>
              <w:right w:type="dxa" w:w="90"/>
            </w:tcMar>
          </w:tcPr>
          <w:p>
            <w:r>
              <w:rPr>
                <w:b/>
                <w:bCs/>
                <w:sz w:val="19"/>
                <w:szCs w:val="19"/>
              </w:rPr>
              <w:t xml:space="preserve">Q8</w:t>
            </w:r>
          </w:p>
        </w:tc>
        <w:tc>
          <w:tcPr>
            <w:tcW w:type="dxa" w:w="555"/>
            <w:shd w:fill="EEF1F5" w:val="clear"/>
            <w:tcMar>
              <w:top w:type="dxa" w:w="50"/>
              <w:left w:type="dxa" w:w="90"/>
              <w:bottom w:type="dxa" w:w="50"/>
              <w:right w:type="dxa" w:w="90"/>
            </w:tcMar>
          </w:tcPr>
          <w:p>
            <w:r>
              <w:rPr>
                <w:b/>
                <w:bCs/>
                <w:sz w:val="19"/>
                <w:szCs w:val="19"/>
              </w:rPr>
              <w:t xml:space="preserve">Q9</w:t>
            </w:r>
          </w:p>
        </w:tc>
        <w:tc>
          <w:tcPr>
            <w:tcW w:type="dxa" w:w="555"/>
            <w:shd w:fill="EEF1F5" w:val="clear"/>
            <w:tcMar>
              <w:top w:type="dxa" w:w="50"/>
              <w:left w:type="dxa" w:w="90"/>
              <w:bottom w:type="dxa" w:w="50"/>
              <w:right w:type="dxa" w:w="90"/>
            </w:tcMar>
          </w:tcPr>
          <w:p>
            <w:r>
              <w:rPr>
                <w:b/>
                <w:bCs/>
                <w:sz w:val="19"/>
                <w:szCs w:val="19"/>
              </w:rPr>
              <w:t xml:space="preserve">Q10</w:t>
            </w:r>
          </w:p>
        </w:tc>
        <w:tc>
          <w:tcPr>
            <w:tcW w:type="dxa" w:w="555"/>
            <w:shd w:fill="EEF1F5" w:val="clear"/>
            <w:tcMar>
              <w:top w:type="dxa" w:w="50"/>
              <w:left w:type="dxa" w:w="90"/>
              <w:bottom w:type="dxa" w:w="50"/>
              <w:right w:type="dxa" w:w="90"/>
            </w:tcMar>
          </w:tcPr>
          <w:p>
            <w:r>
              <w:rPr>
                <w:b/>
                <w:bCs/>
                <w:sz w:val="19"/>
                <w:szCs w:val="19"/>
              </w:rPr>
              <w:t xml:space="preserve">Q11</w:t>
            </w:r>
          </w:p>
        </w:tc>
        <w:tc>
          <w:tcPr>
            <w:tcW w:type="dxa" w:w="555"/>
            <w:shd w:fill="EEF1F5" w:val="clear"/>
            <w:tcMar>
              <w:top w:type="dxa" w:w="50"/>
              <w:left w:type="dxa" w:w="90"/>
              <w:bottom w:type="dxa" w:w="50"/>
              <w:right w:type="dxa" w:w="90"/>
            </w:tcMar>
          </w:tcPr>
          <w:p>
            <w:r>
              <w:rPr>
                <w:b/>
                <w:bCs/>
                <w:sz w:val="19"/>
                <w:szCs w:val="19"/>
              </w:rPr>
              <w:t xml:space="preserve">Q12</w:t>
            </w:r>
          </w:p>
        </w:tc>
      </w:tr>
      <w:tr>
        <w:tc>
          <w:tcPr>
            <w:tcW w:type="dxa" w:w="2412"/>
            <w:tcMar>
              <w:top w:type="dxa" w:w="50"/>
              <w:left w:type="dxa" w:w="90"/>
              <w:bottom w:type="dxa" w:w="50"/>
              <w:right w:type="dxa" w:w="90"/>
            </w:tcMar>
          </w:tcPr>
          <w:p>
            <w:r>
              <w:rPr>
                <w:b w:val="false"/>
                <w:bCs w:val="false"/>
                <w:sz w:val="19"/>
                <w:szCs w:val="19"/>
              </w:rPr>
              <w:t xml:space="preserve">WP1 Synthesis + XAS descriptors</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r>
      <w:tr>
        <w:tc>
          <w:tcPr>
            <w:tcW w:type="dxa" w:w="2412"/>
            <w:tcMar>
              <w:top w:type="dxa" w:w="50"/>
              <w:left w:type="dxa" w:w="90"/>
              <w:bottom w:type="dxa" w:w="50"/>
              <w:right w:type="dxa" w:w="90"/>
            </w:tcMar>
          </w:tcPr>
          <w:p>
            <w:r>
              <w:rPr>
                <w:b w:val="false"/>
                <w:bCs w:val="false"/>
                <w:sz w:val="19"/>
                <w:szCs w:val="19"/>
              </w:rPr>
              <w:t xml:space="preserve">WP2 Devices + switching statistics</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r>
      <w:tr>
        <w:tc>
          <w:tcPr>
            <w:tcW w:type="dxa" w:w="2412"/>
            <w:tcMar>
              <w:top w:type="dxa" w:w="50"/>
              <w:left w:type="dxa" w:w="90"/>
              <w:bottom w:type="dxa" w:w="50"/>
              <w:right w:type="dxa" w:w="90"/>
            </w:tcMar>
          </w:tcPr>
          <w:p>
            <w:r>
              <w:rPr>
                <w:b w:val="false"/>
                <w:bCs w:val="false"/>
                <w:sz w:val="19"/>
                <w:szCs w:val="19"/>
              </w:rPr>
              <w:t xml:space="preserve">WP3 Correlation + operando + publication</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r>
      <w:tr>
        <w:tc>
          <w:tcPr>
            <w:tcW w:type="dxa" w:w="2412"/>
            <w:tcMar>
              <w:top w:type="dxa" w:w="50"/>
              <w:left w:type="dxa" w:w="90"/>
              <w:bottom w:type="dxa" w:w="50"/>
              <w:right w:type="dxa" w:w="90"/>
            </w:tcMar>
          </w:tcPr>
          <w:p>
            <w:r>
              <w:rPr>
                <w:b w:val="false"/>
                <w:bCs w:val="false"/>
                <w:sz w:val="19"/>
                <w:szCs w:val="19"/>
              </w:rPr>
              <w:t xml:space="preserve">WP4 Return phase: transfer + map integration</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r>
    </w:tbl>
    <w:p>
      <w:pPr>
        <w:pStyle w:val="Heading1"/>
        <w:spacing w:after="120" w:before="240"/>
      </w:pPr>
      <w:r>
        <w:t xml:space="preserve">6  Career perspective</w:t>
      </w:r>
    </w:p>
    <w:p>
      <w:pPr>
        <w:spacing w:after="120"/>
      </w:pPr>
      <w:r>
        <w:t xml:space="preserve">The project is the building block between the applicant’s doctorate (memristive devices, PLD, switching statistics) and the goal of an own junior research group in Europe on descriptor-based materials development for memristive oxides. The funded return phase reintegrates the methodology into the European research area (FZ Jülich/RWTH Aachen, JARA) and prepares the ERC Starting Grant/Emmy Noether bid; the MSCA fellowship itself strengthens the European profile of that bid. The choice of GDC is deliberately map-strategic and host-strategic: nonstoichiometric ceria is the host group’s founding material, and the fluorite class is the sharpest available test of which descriptor formulation carries across oxide classes. The Stanford/SSRL collaboration will be continued as the transatlantic bridge of the future group.</w:t>
      </w:r>
    </w:p>
    <w:p>
      <w:pPr>
        <w:pStyle w:val="Heading1"/>
        <w:spacing w:after="120" w:before="240"/>
      </w:pPr>
      <w:r>
        <w:t xml:space="preserve">7  References</w:t>
      </w:r>
    </w:p>
    <w:p>
      <w:pPr>
        <w:spacing w:after="120"/>
      </w:pPr>
      <w:r>
        <w:rPr>
          <w:sz w:val="18"/>
          <w:szCs w:val="18"/>
        </w:rPr>
        <w:t xml:space="preserve">[1] R. Waser, M. Aono, Nanoionics-based resistive switching memories. Nature Materials 6, 833–840 (2007).</w:t>
      </w:r>
    </w:p>
    <w:p>
      <w:pPr>
        <w:spacing w:after="120"/>
      </w:pPr>
      <w:r>
        <w:rPr>
          <w:sz w:val="18"/>
          <w:szCs w:val="18"/>
        </w:rPr>
        <w:t xml:space="preserve">[2] R. Waser, R. Dittmann, G. Staikov, K. Szot, Redox-Based Resistive Switching Memories – Nanoionic Mechanisms, Prospects, and Challenges. Advanced Materials 21, 2632–2663 (2009).</w:t>
      </w:r>
    </w:p>
    <w:p>
      <w:pPr>
        <w:spacing w:after="120"/>
      </w:pPr>
      <w:r>
        <w:rPr>
          <w:sz w:val="18"/>
          <w:szCs w:val="18"/>
        </w:rPr>
        <w:t xml:space="preserve">[3] R. Dittmann, S. Menzel, R. Waser, Nanoionic memristive phenomena in metal oxides: the valence change mechanism. Advances in Physics 70, 155–349 (2021).</w:t>
      </w:r>
    </w:p>
    <w:p>
      <w:pPr>
        <w:spacing w:after="120"/>
      </w:pPr>
      <w:r>
        <w:rPr>
          <w:sz w:val="18"/>
          <w:szCs w:val="18"/>
        </w:rPr>
        <w:t xml:space="preserve">[4] S. Menzel, M. Waters, A. Marchewka, U. Böttger, R. Dittmann, R. Waser, Origin of the Ultra-nonlinear Switching Kinetics in Oxide-Based Resistive Switches. Advanced Functional Materials 21, 4487–4492 (2011).</w:t>
      </w:r>
    </w:p>
    <w:p>
      <w:pPr>
        <w:spacing w:after="120"/>
      </w:pPr>
      <w:r>
        <w:rPr>
          <w:sz w:val="18"/>
          <w:szCs w:val="18"/>
        </w:rPr>
        <w:t xml:space="preserve">[5] Y.-L. Lee, J. Kleis, J. Rossmeisl, Y. Shao-Horn, D. Morgan, Prediction of solid oxide fuel cell cathode activity with first-principles descriptors. Energy &amp; Environmental Science 4, 3966–3970 (2011).</w:t>
      </w:r>
    </w:p>
    <w:p>
      <w:pPr>
        <w:spacing w:after="120"/>
      </w:pPr>
      <w:r>
        <w:rPr>
          <w:sz w:val="18"/>
          <w:szCs w:val="18"/>
        </w:rPr>
        <w:t xml:space="preserve">[6] R. Jacobs, J. Hwang, Y. Shao-Horn, D. Morgan, Assessing Correlations of Perovskite Catalytic Performance with Electronic Structure Descriptors. Chemistry of Materials 31, 785–797 (2019).</w:t>
      </w:r>
    </w:p>
    <w:p>
      <w:pPr>
        <w:spacing w:after="120"/>
      </w:pPr>
      <w:r>
        <w:rPr>
          <w:sz w:val="18"/>
          <w:szCs w:val="18"/>
        </w:rPr>
        <w:t xml:space="preserve">[7] A. M. Deml, V. Stevanović, C. L. Muhich, C. B. Musgrave, R. O’Hayre, Oxide enthalpy of formation and band gap energy as accurate descriptors of oxygen vacancy formation energetics. Energy &amp; Environmental Science 7, 1996–2004 (2014).</w:t>
      </w:r>
    </w:p>
    <w:p>
      <w:pPr>
        <w:spacing w:after="120"/>
      </w:pPr>
      <w:r>
        <w:rPr>
          <w:sz w:val="18"/>
          <w:szCs w:val="18"/>
        </w:rPr>
        <w:t xml:space="preserve">[8] R. B. Wexler, G. Sai Gautam, E. B. Stechel, E. A. Carter, Factors Governing Oxygen Vacancy Formation in Oxide Perovskites. Journal of the American Chemical Society 143, 13212–13227 (2021).</w:t>
      </w:r>
    </w:p>
    <w:p>
      <w:pPr>
        <w:spacing w:after="120"/>
      </w:pPr>
      <w:r>
        <w:rPr>
          <w:sz w:val="18"/>
          <w:szCs w:val="18"/>
        </w:rPr>
        <w:t xml:space="preserve">[9] R. Schmitt, J. Spring, R. Korobko, J. L. M. Rupp, Design of Oxygen Vacancy Configuration for Memristive Systems. ACS Nano 11, 8881–8891 (2017).</w:t>
      </w:r>
    </w:p>
    <w:p>
      <w:pPr>
        <w:spacing w:after="120"/>
      </w:pPr>
      <w:r>
        <w:rPr>
          <w:sz w:val="18"/>
          <w:szCs w:val="18"/>
        </w:rPr>
        <w:t xml:space="preserve">[10] D. A. Andersson, S. I. Simak, N. V. Skorodumova, I. A. Abrikosov, B. Johansson, Optimization of ionic conductivity in doped ceria. Proceedings of the National Academy of Sciences 103, 3518–3521 (2006).</w:t>
      </w:r>
    </w:p>
    <w:p>
      <w:pPr>
        <w:spacing w:after="120"/>
      </w:pPr>
      <w:r>
        <w:rPr>
          <w:sz w:val="18"/>
          <w:szCs w:val="18"/>
        </w:rPr>
        <w:t xml:space="preserve">[11] Polaronic resistive switching in ceria-based memory devices. Advanced Electronic Materials 5, 1900271 (2019). [complete author list before submission]</w:t>
      </w:r>
    </w:p>
    <w:p>
      <w:pPr>
        <w:spacing w:after="120"/>
      </w:pPr>
      <w:r>
        <w:rPr>
          <w:sz w:val="18"/>
          <w:szCs w:val="18"/>
        </w:rPr>
        <w:t xml:space="preserve">[12] Resistive switching of Pt/Sm0.2Ce0.8O2-x/Nb:SrTiO3 devices. Materials 17, 3360 (2024). [complete author list and exact title before submission]</w:t>
      </w:r>
    </w:p>
    <w:p>
      <w:pPr>
        <w:spacing w:after="120"/>
      </w:pPr>
      <w:r>
        <w:rPr>
          <w:sz w:val="18"/>
          <w:szCs w:val="18"/>
        </w:rPr>
        <w:t xml:space="preserve">[13] S. R. Bishop, T. S. Stefanik, H. L. Tuller, Electrical conductivity and defect equilibria of Pr0.1Ce0.9O2-δ. Physical Chemistry Chemical Physics 13 (2011), DOI 10.1039/c0cp02920c. [complete pages before submission]</w:t>
      </w:r>
    </w:p>
    <w:p>
      <w:pPr>
        <w:spacing w:after="120"/>
      </w:pPr>
      <w:r>
        <w:rPr>
          <w:sz w:val="18"/>
          <w:szCs w:val="18"/>
        </w:rPr>
        <w:t xml:space="preserve">[14] Operando X-ray photoelectron and absorption spectroscopy of the Pr valence system in Pr0.1Ce0.9O2-δ. Chemistry of Materials 30, 2600 (2018). [complete author list and exact title before submission]</w:t>
      </w:r>
    </w:p>
    <w:p>
      <w:pPr>
        <w:spacing w:after="120"/>
      </w:pPr>
      <w:r>
        <w:rPr>
          <w:sz w:val="18"/>
          <w:szCs w:val="18"/>
        </w:rPr>
        <w:t xml:space="preserve">[15] J. Suntivich et al., Estimating Hybridization of Transition Metal and Oxygen States in Perovskites from O K-edge X-ray Absorption Spectroscopy. Journal of Physical Chemistry C 118, 1856–1863 (2014).</w:t>
      </w:r>
    </w:p>
    <w:p>
      <w:pPr>
        <w:spacing w:after="120"/>
      </w:pPr>
      <w:r>
        <w:rPr>
          <w:sz w:val="18"/>
          <w:szCs w:val="18"/>
        </w:rPr>
        <w:t xml:space="preserve">[16] F. Frati, M. O. J. Y. Hunault, F. M. F. de Groot, Oxygen K-edge X-ray Absorption Spectra. Chemical Reviews 120, 4056–4110 (2020).</w:t>
      </w:r>
    </w:p>
    <w:p>
      <w:pPr>
        <w:spacing w:after="120"/>
      </w:pPr>
      <w:r>
        <w:rPr>
          <w:sz w:val="18"/>
          <w:szCs w:val="18"/>
        </w:rPr>
        <w:t xml:space="preserve">[17] W. C. Chueh, C. Falter, M. Abbott, D. Scipio, P. Furler, S. M. Haile, A. Steinfeld, High-Flux Solar-Driven Thermochemical Dissociation of CO2 and H2O Using Nonstoichiometric Ceria. Science 330, 1797–1801 (2010).</w:t>
      </w:r>
    </w:p>
    <w:p>
      <w:pPr>
        <w:spacing w:after="120"/>
      </w:pPr>
      <w:r>
        <w:rPr>
          <w:sz w:val="18"/>
          <w:szCs w:val="18"/>
        </w:rPr>
        <w:t xml:space="preserve">[18] D. N. Mueller, M. L. Machala, H. Bluhm, W. C. Chueh, Redox activity of surface oxygen anions in oxygen-deficient perovskite oxides during electrochemical reactions. Nature Communications 6, 6097 (2015).</w:t>
      </w:r>
    </w:p>
    <w:p>
      <w:pPr>
        <w:spacing w:after="120"/>
      </w:pPr>
      <w:r>
        <w:rPr>
          <w:sz w:val="18"/>
          <w:szCs w:val="18"/>
        </w:rPr>
        <w:t xml:space="preserve">[19] C. Baeumer, J. Li, Q. Lu et al. (with W. C. Chueh), Tuning electrochemically driven surface transformation in atomically flat LaNiO3 thin films for enhanced water electrolysis. Nature Materials 20, 674–682 (2021).</w:t>
      </w:r>
    </w:p>
    <w:p>
      <w:pPr>
        <w:spacing w:after="120"/>
      </w:pPr>
      <w:r>
        <w:rPr>
          <w:sz w:val="18"/>
          <w:szCs w:val="18"/>
        </w:rPr>
        <w:t xml:space="preserve">[20] M. Wuttig et al., Revisiting the Nature of Chemical Bonding in Chalcogenides to Explain and Design their Properties. Advanced Materials 35, 2208485 (2023).</w:t>
      </w:r>
    </w:p>
    <w:p>
      <w:pPr>
        <w:spacing w:after="120"/>
      </w:pPr>
      <w:r>
        <w:rPr>
          <w:sz w:val="18"/>
          <w:szCs w:val="18"/>
        </w:rPr>
        <w:t xml:space="preserve">[21] J. Zaanen, G. A. Sawatzky, J. W. Allen, Band gaps and electronic structure of transition-metal compounds. Physical Review Letters 55, 418–421 (1985).</w:t>
      </w:r>
    </w:p>
    <w:p>
      <w:pPr>
        <w:spacing w:after="120"/>
      </w:pPr>
      <w:r>
        <w:rPr>
          <w:sz w:val="18"/>
          <w:szCs w:val="18"/>
        </w:rPr>
        <w:t xml:space="preserve">[22] A. Fujimori, F. Minami, Valence-band photoemission and optical absorption in nickel compounds. Physical Review B 30, 957–971 (1984).</w:t>
      </w:r>
    </w:p>
    <w:p>
      <w:pPr>
        <w:spacing w:after="120"/>
      </w:pPr>
      <w:r>
        <w:rPr>
          <w:sz w:val="18"/>
          <w:szCs w:val="18"/>
        </w:rPr>
        <w:t xml:space="preserve">[23] A. E. Bocquet, T. Mizokawa, T. Saitoh, H. Namatame, A. Fujimori, Electronic structure of 3d-transition-metal compounds by analysis of the 2p core-level photoemission spectra. Physical Review B 46, 3771–3784 (1992).</w:t>
      </w:r>
    </w:p>
    <w:p>
      <w:pPr>
        <w:spacing w:after="120"/>
      </w:pPr>
      <w:r>
        <w:rPr>
          <w:sz w:val="18"/>
          <w:szCs w:val="18"/>
        </w:rPr>
        <w:t xml:space="preserve">[24] T. Saitoh, A. E. Bocquet, T. Mizokawa, A. Fujimori, Systematic variation of the electronic structure of 3d transition-metal compounds. Physical Review B 52, 7934–7938 (1995).</w:t>
      </w:r>
    </w:p>
    <w:p>
      <w:pPr>
        <w:spacing w:after="120"/>
      </w:pPr>
      <w:r>
        <w:rPr>
          <w:sz w:val="18"/>
          <w:szCs w:val="18"/>
        </w:rPr>
        <w:t xml:space="preserve">[25] S. Nimkar, D. D. Sarma, H. R. Krishnamurthy, S. Ramasesha, Mean-field results of the multiple-band extended Hubbard model for the square-planar CuO2 lattice. Physical Review B 48, 7355–7363 (1993).</w:t>
      </w:r>
    </w:p>
    <w:p>
      <w:pPr>
        <w:spacing w:after="120"/>
      </w:pPr>
      <w:r>
        <w:rPr>
          <w:sz w:val="18"/>
          <w:szCs w:val="18"/>
        </w:rPr>
        <w:t xml:space="preserve">[26] F. M. F. de Groot, X-ray absorption and dichroism of transition metals and their compounds. Journal of Electron Spectroscopy and Related Phenomena 67, 529–622 (1994).</w:t>
      </w:r>
    </w:p>
    <w:p>
      <w:pPr>
        <w:spacing w:after="120"/>
      </w:pPr>
      <w:r>
        <w:rPr>
          <w:sz w:val="18"/>
          <w:szCs w:val="18"/>
        </w:rPr>
        <w:t xml:space="preserve">[27] A. Fujimori, Mixed-valent ground state of CeO2. Physical Review B 28, 2281–2283 (1983).</w:t>
      </w:r>
    </w:p>
    <w:p>
      <w:pPr>
        <w:spacing w:after="120"/>
      </w:pPr>
      <w:r>
        <w:rPr>
          <w:sz w:val="18"/>
          <w:szCs w:val="18"/>
        </w:rPr>
        <w:t xml:space="preserve">[28] E. Wuilloud, B. Delley, W.-D. Schneider, Y. Baer, Spectroscopic evidence for localized and extended f-symmetry states in CeO2. Physical Review Letters 53, 202–205 (1984).</w:t>
      </w:r>
    </w:p>
    <w:p>
      <w:pPr>
        <w:spacing w:after="120"/>
      </w:pPr>
      <w:r>
        <w:rPr>
          <w:sz w:val="18"/>
          <w:szCs w:val="18"/>
        </w:rPr>
        <w:t xml:space="preserve">[29] A. Kotani, T. Jo, J. C. Parlebas, Many-body effects in core-level spectroscopy of rare-earth compounds. Advances in Physics 37, 37–85 (1988).</w:t>
      </w:r>
    </w:p>
    <w:p>
      <w:pPr>
        <w:spacing w:after="120"/>
      </w:pPr>
      <w:r>
        <w:rPr>
          <w:sz w:val="18"/>
          <w:szCs w:val="18"/>
        </w:rPr>
        <w:t xml:space="preserve">[30] H. M. Christen, C. M. Rouleau, I. Ohkubo, H. Y. Zhai, H. N. Lee, S. Sathyamurthy, D. H. Lowndes, An improved continuous compositional-spread technique based on pulsed-laser deposition and applicable to large substrate areas. Review of Scientific Instruments 74, 4058–4062 (2003).</w:t>
      </w:r>
    </w:p>
    <w:p>
      <w:pPr>
        <w:spacing w:after="120"/>
      </w:pPr>
      <w:r>
        <w:rPr>
          <w:sz w:val="18"/>
          <w:szCs w:val="18"/>
        </w:rPr>
        <w:t xml:space="preserve">[31] M. Lorenz, H. Hochmuth, H. von Wenckstern, M. Grundmann, Flexible hardware concept of pulsed laser deposition for large areas and combinatorial composition spreads. Review of Scientific Instruments 94, 083905 (2023).</w:t>
      </w:r>
    </w:p>
    <w:p>
      <w:pPr>
        <w:spacing w:after="120"/>
      </w:pPr>
      <w:r>
        <w:rPr>
          <w:sz w:val="18"/>
          <w:szCs w:val="18"/>
        </w:rPr>
        <w:t xml:space="preserve">[32] A. Venimadhav, K. A. Yates, M. G. Blamire, Scanning Raman Spectroscopy for Characterizing Compositionally Spread Films. Journal of Combinatorial Chemistry 7, 85–89 (2005).</w:t>
      </w:r>
    </w:p>
    <w:p>
      <w:pPr>
        <w:spacing w:after="120"/>
      </w:pPr>
      <w:r>
        <w:rPr>
          <w:sz w:val="18"/>
          <w:szCs w:val="18"/>
        </w:rPr>
        <w:t xml:space="preserve">[33] Y. Yamasaki, N. Sasabe, Y. Ishii, Y. Sekiguchi, A. Sumiyoshiya, Y. Tanimoto, Y. Kotani, T. Nakamura, H. Nomura, High-throughput mapping of magnetic properties via the on-the-fly XMCD spectroscopy in a combinatorial Fe-Co-Ni film. Science and Technology of Advanced Materials: Methods 5, 2544528 (2025). [volume/article number from a single source – verify before submission]</w:t>
      </w:r>
    </w:p>
    <w:p>
      <w:pPr>
        <w:spacing w:after="120"/>
      </w:pPr>
      <w:r>
        <w:rPr>
          <w:sz w:val="18"/>
          <w:szCs w:val="18"/>
        </w:rPr>
        <w:t xml:space="preserve">[34] D. C. Grinter, P. Ferrer, F. Venturini, M. A. van Spronsen, A. I. Large et al., VerSoX B07-B: a high-throughput XPS and ambient pressure NEXAFS beamline at Diamond Light Source. Journal of Synchrotron Radiation 31, 578–589 (2024).</w:t>
      </w:r>
    </w:p>
    <w:p>
      <w:pPr>
        <w:spacing w:after="120"/>
      </w:pPr>
      <w:r>
        <w:rPr>
          <w:sz w:val="18"/>
          <w:szCs w:val="18"/>
        </w:rPr>
        <w:t xml:space="preserve">[35] M. Tang, L. Dai, M. Cheng, Y. Zhang, Y. Wang et al., High-Throughput Screening Thickness-Dependent Resistive Switching in SrTiO3 Thin Films for Robust Electronic Synapse. Advanced Functional Materials 33, 2213874 (2023).</w:t>
      </w:r>
    </w:p>
    <w:p>
      <w:pPr>
        <w:spacing w:after="120"/>
      </w:pPr>
      <w:r>
        <w:rPr>
          <w:sz w:val="18"/>
          <w:szCs w:val="18"/>
        </w:rPr>
        <w:t xml:space="preserve">[36] S. Wicklein, A. Sambri, S. Amoruso, X. Wang, R. Bruzzese, A. Koehl, R. Dittmann, Pulsed laser ablation of complex oxides: The role of congruent ablation and preferential scattering for the film stoichiometry. Applied Physics Letters 101, 131601 (2012).</w:t>
      </w:r>
    </w:p>
    <w:p>
      <w:pPr>
        <w:spacing w:after="120"/>
      </w:pPr>
      <w:r>
        <w:rPr>
          <w:sz w:val="18"/>
          <w:szCs w:val="18"/>
        </w:rPr>
        <w:t xml:space="preserve">[37] W. C. Chueh, S. M. Haile, Electrochemical studies of capacitance in cerium oxide thin films and its relationship to anionic and electronic defect densities. Physical Chemistry Chemical Physics 11, 8144–8148 (2009).</w:t>
      </w:r>
    </w:p>
    <w:p>
      <w:pPr>
        <w:spacing w:after="120"/>
      </w:pPr>
      <w:r>
        <w:rPr>
          <w:sz w:val="18"/>
          <w:szCs w:val="18"/>
        </w:rPr>
        <w:t xml:space="preserve">[38] A. Schmid, G. M. Rupp, J. Fleig, Voltage and partial pressure dependent defect chemistry in (La,Sr)FeO3-δ thin films investigated by chemical capacitance measurements. Physical Chemistry Chemical Physics 20, 12016–12026 (2018).</w:t>
      </w:r>
    </w:p>
    <w:p>
      <w:pPr>
        <w:spacing w:after="120"/>
      </w:pPr>
      <w:r>
        <w:rPr>
          <w:sz w:val="18"/>
          <w:szCs w:val="18"/>
        </w:rPr>
        <w:t xml:space="preserve">[39] J. J. Kim, S. R. Bishop, N. J. Thompson, H. L. Tuller, Investigation of Nonstoichiometry in Oxide Thin Films by Simultaneous in Situ Optical Absorption and Chemical Capacitance Measurements: Pr-Doped Ceria, a Case Study. Chemistry of Materials 26, 1374–1379 (2014).</w:t>
      </w:r>
    </w:p>
    <w:p>
      <w:pPr>
        <w:spacing w:after="120"/>
      </w:pPr>
      <w:r>
        <w:rPr>
          <w:sz w:val="18"/>
          <w:szCs w:val="18"/>
        </w:rPr>
        <w:t xml:space="preserve">[E1] M. Buczek et al., Amorphous, Highly Conductive Pr0.7Ca0.3MnO3 for Area-Dependent Resistive Switching Devices. Advanced Electronic Materials (2026, accepted).</w:t>
      </w:r>
    </w:p>
    <w:p>
      <w:pPr>
        <w:spacing w:after="120"/>
      </w:pPr>
      <w:r>
        <w:rPr>
          <w:sz w:val="18"/>
          <w:szCs w:val="18"/>
        </w:rPr>
        <w:t xml:space="preserve">[E2] M. Buczek, Z. Moos, A. Gutsche, S. Menzel, R. Dittmann, Pr1-xCaxMnO3-Based Memristive Heterostructures: Basic Mechanisms and Applications. Chemical Reviews 125, 6156–6202 (2025).</w:t>
      </w:r>
    </w:p>
    <w:p>
      <w:pPr>
        <w:spacing w:after="120"/>
      </w:pPr>
      <w:r>
        <w:rPr>
          <w:sz w:val="18"/>
          <w:szCs w:val="18"/>
        </w:rPr>
        <w:t xml:space="preserve">[E3] M. Buczek et al., Large Area Pulsed Laser Deposition of Memristive Pr0.7Ca0.3MnO3 Heterostructures for Neuromorphic Computing. Thin Solid Films (2024).</w:t>
      </w:r>
    </w:p>
    <w:p>
      <w:pPr>
        <w:pStyle w:val="Heading1"/>
        <w:spacing w:after="120" w:before="240"/>
      </w:pPr>
      <w:r>
        <w:t xml:space="preserve">8  Notes before submission</w:t>
      </w:r>
    </w:p>
    <w:p>
      <w:pPr>
        <w:spacing w:after="120"/>
      </w:pPr>
      <w:r>
        <w:rPr>
          <w:sz w:val="18"/>
          <w:szCs w:val="18"/>
        </w:rPr>
        <w:t xml:space="preserve">• Verify all bracketed programme details (rates, deadlines, current call conditions) against the funder’s current documentation. • Coordinate the proposal with Prof. Chueh and fix the German/European host institution. • European host institution acts as applicant – letter of commitment, supervision agreement (both hosts) and training plan required per MSCA template. • Manuscript placeholders in the publication list ([E1]) to be updated at submission time.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2026-08-10T22:40:37.493Z</dcterms:created>
  <dcterms:modified xsi:type="dcterms:W3CDTF">2026-08-10T22:40:37.493Z</dcterms:modified>
</cp:coreProperties>
</file>

<file path=docProps/custom.xml><?xml version="1.0" encoding="utf-8"?>
<Properties xmlns="http://schemas.openxmlformats.org/officeDocument/2006/custom-properties" xmlns:vt="http://schemas.openxmlformats.org/officeDocument/2006/docPropsVTypes"/>
</file>