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of the STF series (months 1–10)</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10): validated sample series with complete descriptor set.</w:t>
      </w:r>
    </w:p>
    <w:p>
      <w:pPr>
        <w:spacing w:after="120"/>
      </w:pPr>
      <w:r>
        <w:rPr>
          <w:b/>
          <w:bCs/>
        </w:rPr>
        <w:t xml:space="preserve">WP2 – Intrinsic devices and switching characterisation (months 8–18)</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w:t>
      </w:r>
    </w:p>
    <w:p>
      <w:pPr>
        <w:spacing w:after="120"/>
      </w:pPr>
      <w:r>
        <w:t xml:space="preserve">Correlation analysis covalency (XAS) ↔ ΔHred/EV (defect model [9], descriptor models [5–8]) ↔ switching metrics; test of the optimum hypothesis. Second SSRL campaign: XAS through the graphene electrode on switched cells (ex-situ before/after switching, operando if successful, following [17]) to verify that the composition-dependent differences rest on different VO dynamics inside the oxide. Publication of the first covalency-resolved study of intrinsically switching perovskite devices;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2026-08-10T07:28:28.359Z</dcterms:created>
  <dcterms:modified xsi:type="dcterms:W3CDTF">2026-08-10T07:28:28.359Z</dcterms:modified>
</cp:coreProperties>
</file>

<file path=docProps/custom.xml><?xml version="1.0" encoding="utf-8"?>
<Properties xmlns="http://schemas.openxmlformats.org/officeDocument/2006/custom-properties" xmlns:vt="http://schemas.openxmlformats.org/officeDocument/2006/docPropsVTypes"/>
</file>