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STF series (months 1–10,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w:t>
      </w:r>
    </w:p>
    <w:p>
      <w:pPr>
        <w:spacing w:after="120"/>
      </w:pPr>
      <w:r>
        <w:rPr>
          <w:b/>
          <w:bCs/>
        </w:rPr>
        <w:t xml:space="preserve">WP2 – Intrinsic devices and switching characterisation (months 8–18,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2026-08-10T07:28:28.489Z</dcterms:created>
  <dcterms:modified xsi:type="dcterms:W3CDTF">2026-08-10T07:28:28.489Z</dcterms:modified>
</cp:coreProperties>
</file>

<file path=docProps/custom.xml><?xml version="1.0" encoding="utf-8"?>
<Properties xmlns="http://schemas.openxmlformats.org/officeDocument/2006/custom-properties" xmlns:vt="http://schemas.openxmlformats.org/officeDocument/2006/docPropsVTypes"/>
</file>