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directly measurable at the O-K edge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of the PCMO series (months 1–10, Stanford)</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 Stanford)</w:t>
      </w:r>
    </w:p>
    <w:p>
      <w:pPr>
        <w:spacing w:after="120"/>
      </w:pPr>
      <w:r>
        <w:t xml:space="preserve">Correlation analysis covalency (XAS) ↔ EV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2026-08-10T07:28:28.541Z</dcterms:created>
  <dcterms:modified xsi:type="dcterms:W3CDTF">2026-08-10T07:28:28.541Z</dcterms:modified>
</cp:coreProperties>
</file>

<file path=docProps/custom.xml><?xml version="1.0" encoding="utf-8"?>
<Properties xmlns="http://schemas.openxmlformats.org/officeDocument/2006/custom-properties" xmlns:vt="http://schemas.openxmlformats.org/officeDocument/2006/docPropsVTypes"/>
</file>