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La1-xSrxCoO3-δ Series with its SrCoOx Anchor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with the O-K pre-edge methodology fully established [12, 13].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(months 1–10)</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10): validated sample series with complete descriptor set.</w:t>
      </w:r>
    </w:p>
    <w:p>
      <w:pPr>
        <w:spacing w:after="120"/>
      </w:pPr>
      <w:r>
        <w:rPr>
          <w:b/>
          <w:bCs/>
        </w:rPr>
        <w:t xml:space="preserve">WP2 – Devices and switching characterisation (months 8–18)</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18): switching figures of merit as a function of x with robust statistics.</w:t>
      </w:r>
    </w:p>
    <w:p>
      <w:pPr>
        <w:spacing w:after="120"/>
      </w:pPr>
      <w:r>
        <w:rPr>
          <w:b/>
          <w:bCs/>
        </w:rPr>
        <w:t xml:space="preserve">WP3 – Correlation, operando validation and publication (months 16–24)</w:t>
      </w:r>
    </w:p>
    <w:p>
      <w:pPr>
        <w:spacing w:after="120"/>
      </w:pPr>
      <w:r>
        <w:t xml:space="preserve">Correlation analysis covalency (XAS) ↔ EV (defect chemistry [10], descriptor models [5–8, 11]) ↔ switching metrics; test of the optimum hypothesis. Second SSRL campaign: XAS on switched cells (ex-situ before/after switching, operando if successful) to verify that composition-dependent differences rest on different VO dynamics. Publication of the first covalency-resolved cobaltite memristor study; dataset released following FAIR principles. Milestone M3 (month 24): submitted publication(s), public dataset.</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LSCO is deliberate: it is the one perovskite family whose covalency→EV link is already published in quantitative form, and its cobaltite axis pairs naturally with the ferrite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2026-08-10T07:28:28.391Z</dcterms:created>
  <dcterms:modified xsi:type="dcterms:W3CDTF">2026-08-10T07:28:28.391Z</dcterms:modified>
</cp:coreProperties>
</file>

<file path=docProps/custom.xml><?xml version="1.0" encoding="utf-8"?>
<Properties xmlns="http://schemas.openxmlformats.org/officeDocument/2006/custom-properties" xmlns:vt="http://schemas.openxmlformats.org/officeDocument/2006/docPropsVTypes"/>
</file>