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DFG Walter Benjamin Programme</w:t>
      </w:r>
    </w:p>
    <w:p>
      <w:pPr>
        <w:pStyle w:val="Title"/>
      </w:pPr>
      <w:r>
        <w:t xml:space="preserve">Covalency as an Experimental Descriptor of Memristive Switching: the YBa2Cu3O7-δ Chain-Oxygen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24 months (+ return module)</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Walter Benjamin fellowship for a 24-month stay abroad (Stanford University / SLAC); monthly stipend plus allowances [insert current DFG rates]; on return, DFG return funding (up to 12 months, position in Germany) [verify current terms]</w:t>
            </w:r>
          </w:p>
        </w:tc>
      </w:tr>
      <w:tr>
        <w:tc>
          <w:tcPr>
            <w:tcW w:type="dxa" w:w="2400"/>
            <w:shd w:fill="EEF1F5" w:val="clear"/>
            <w:tcMar>
              <w:top w:type="dxa" w:w="50"/>
              <w:left w:type="dxa" w:w="90"/>
              <w:bottom w:type="dxa" w:w="50"/>
              <w:right w:type="dxa" w:w="90"/>
            </w:tcMar>
          </w:tcPr>
          <w:p>
            <w:r>
              <w:rPr>
                <w:b/>
                <w:bCs/>
                <w:sz w:val="19"/>
                <w:szCs w:val="19"/>
              </w:rPr>
              <w:t xml:space="preserve">Funding body</w:t>
            </w:r>
          </w:p>
        </w:tc>
        <w:tc>
          <w:tcPr>
            <w:tcW w:type="dxa" w:w="6672"/>
            <w:tcMar>
              <w:top w:type="dxa" w:w="50"/>
              <w:left w:type="dxa" w:w="90"/>
              <w:bottom w:type="dxa" w:w="50"/>
              <w:right w:type="dxa" w:w="90"/>
            </w:tcMar>
          </w:tcPr>
          <w:p>
            <w:r>
              <w:rPr>
                <w:b w:val="false"/>
                <w:bCs w:val="false"/>
                <w:sz w:val="19"/>
                <w:szCs w:val="19"/>
              </w:rPr>
              <w:t xml:space="preserve">DFG</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Early postdoctoral career phase; application possible at any time (no deadlines)</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DFG proposal format (project description, CV, host confirmation), via elan portal</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Same funding organisation as the planned Emmy Noether group – one continuous DFG track from pilot to group</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switch their resistance through field-driven redistribution of oxygen defects [1–3], with the oxygen-defect formation energy entering all quantitative models exponentially [3, 4]. Energy research has established the metal–oxygen covalency as the controlling descriptor of this energy [5–8] – but the experimental test of this link in memristive devices is missing. My project performs this test on YBa2Cu3O7-δ (YBCO): the one oxide outside the perovskite manganite/ferrite families in which all three evidence pillars of a clean descriptor study already coexist.</w:t>
      </w:r>
    </w:p>
    <w:p>
      <w:pPr>
        <w:spacing w:after="120"/>
      </w:pPr>
      <w:r>
        <w:t xml:space="preserve">(i) Covalency vs. stoichiometry is measured with unmatched precision: the site-specific, polarisation-resolved O-1s/Cu-2p XAS of YBCO resolves the doped-hole count separately for the CuO2 planes, the CuO chains and the apical oxygen as a function of oxygen content δ and cation doping [9, 10] – a level of spectroscopic resolution no perovskite series offers. The chain-oxygen content δ is continuously and reversibly tunable between 6.0 and 7.0 by annealing, making it an exceptionally fine stoichiometry axis. (ii) EV vs. site and stoichiometry is computed: DFT point-defect studies give site-resolved vacancy formation energies (chain ≈ 1.2 eV vs. plane ≈ 2.1 eV in YBa2Cu3O6.5) that depend on the oxygen content itself [14, 15]. (iii) Switching at noble interfaces is established and replicated: Au/YBCO/Au cells switch bipolar and non-volatile via interfacial oxygen-vacancy migration [11], with recent replications and mechanistic extensions from 80 to 300 K [12, 13]. The gap: all published devices are ceramic; no epitaxial, δ-controlled, statistically robust device series with simultaneous XAS covalency quantification exists. My central hypothesis: the switching figures of merit of Au/YBCO devices scale with the chain-hole covalency measured by site-resolved XAS – making YBCO the sharpest single-material test of the descriptor chain and, at the same time, the first extension of the planned “treasure map” beyond the perovskite structure family.</w:t>
      </w:r>
    </w:p>
    <w:p>
      <w:pPr>
        <w:spacing w:after="120"/>
      </w:pPr>
      <w:r>
        <w:t xml:space="preserve">Design constraints are addressed openly: below Tc ≈ 93 K superconductivity takes over (all device metrology therefore runs at ≥ 100 K and room temperature), and the ortho-ordering kinetics of the chain oxygen add a slow structural relaxation that is monitored by XRD. Both are charted boundaries, not confounders of the room-temperature descriptor study.</w:t>
      </w:r>
    </w:p>
    <w:p>
      <w:pPr>
        <w:pStyle w:val="Heading1"/>
        <w:spacing w:after="120" w:before="240"/>
      </w:pPr>
      <w:r>
        <w:t xml:space="preserve">2  Programme fit and strategy</w:t>
      </w:r>
    </w:p>
    <w:p>
      <w:pPr>
        <w:spacing w:after="120"/>
      </w:pPr>
      <w:r>
        <w:t xml:space="preserve">The Walter Benjamin Programme funds the project as a 24-month fellowship at the place best suited to it – the Chueh group at Stanford – and its return module (up to 12 months, position in Germany) bridges directly into the Emmy Noether application: reviewers see the entire path (pilot project → return → junior research group) within one funding organisation, with the COMET-Ox group proposal as the declared perspective.</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[18–20]. The group’s seminal work on the redox activity of oxygen anions in oxygen-deficient perovskites [19] is a direct methodological blueprint for my project; the Nature Materials study on atomically defined LaNiO3 surfaces [20]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w:t>
      </w:r>
    </w:p>
    <w:p>
      <w:pPr>
        <w:pStyle w:val="Heading1"/>
        <w:spacing w:after="120" w:before="240"/>
      </w:pPr>
      <w:r>
        <w:t xml:space="preserve">4  Work programme</w:t>
      </w:r>
    </w:p>
    <w:p>
      <w:pPr>
        <w:spacing w:after="120"/>
      </w:pPr>
      <w:r>
        <w:rPr>
          <w:b/>
          <w:bCs/>
        </w:rPr>
        <w:t xml:space="preserve">WP1 – Synthesis and descriptor measurement (months 1–10)</w:t>
      </w:r>
    </w:p>
    <w:p>
      <w:pPr>
        <w:spacing w:after="120"/>
      </w:pPr>
      <w:r>
        <w:t xml:space="preserve">PLD growth of epitaxial YBCO films on SrTiO3 and NdGaO3 in the Stanford/SLAC thin-film laboratories; δ-series (six oxygen contents between O6.4 and O7.0) set by controlled p(O2) annealing, verified by c-axis XRD and transport; structural validation (XRD/RSM, AFM). In parallel, first XAS campaign at SSRL: site-resolved O-K pre-edge quantification (plane/chain/apex following [9, 10]) and Cu-L2,3 valence analysis for every δ → experimental covalency scale of the series. Milestone M1 (month 10): validated δ-series with complete site-resolved descriptor set.</w:t>
      </w:r>
    </w:p>
    <w:p>
      <w:pPr>
        <w:spacing w:after="120"/>
      </w:pPr>
      <w:r>
        <w:rPr>
          <w:b/>
          <w:bCs/>
        </w:rPr>
        <w:t xml:space="preserve">WP2 – Devices and switching characterisation (months 8–18)</w:t>
      </w:r>
    </w:p>
    <w:p>
      <w:pPr>
        <w:spacing w:after="120"/>
      </w:pPr>
      <w:r>
        <w:t xml:space="preserve">Au-active pads (replicating the proven noble-contact geometry [11–13]) and Pt pads as second inert flavour, processed photolithographically with ≥ 30 nominally identical cells per δ; quasistatic and pulsed characterisation at 100–300 K under the statistics protocol established in my doctorate (ON/OFF, forming requirement, kinetics, retention, endurance). Milestone M2 (month 18): switching figures of merit as a function of δ, in epitaxial cells, with robust statistics – the first non-ceramic Au/YBCO device series.</w:t>
      </w:r>
    </w:p>
    <w:p>
      <w:pPr>
        <w:spacing w:after="120"/>
      </w:pPr>
      <w:r>
        <w:rPr>
          <w:b/>
          <w:bCs/>
        </w:rPr>
        <w:t xml:space="preserve">WP3 – Correlation, operando validation and publication (months 16–24)</w:t>
      </w:r>
    </w:p>
    <w:p>
      <w:pPr>
        <w:spacing w:after="120"/>
      </w:pPr>
      <w:r>
        <w:t xml:space="preserve">Correlation analysis site-resolved covalency (XAS) ↔ site-resolved EV (DFT [14, 15]) ↔ switching metrics; test of the chain-hole hypothesis. Second SSRL campaign: XAS on switched cells (ex-situ before/after, operando if successful) to verify δ-dependent VO dynamics at the Au interface. Publication of the first covalency-resolved cuprate memristor study; dataset released following FAIR principles. Milestone M3 (month 24): submitted publication(s), public dataset.</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72"/>
        <w:gridCol w:w="775"/>
        <w:gridCol w:w="775"/>
        <w:gridCol w:w="775"/>
        <w:gridCol w:w="775"/>
        <w:gridCol w:w="775"/>
        <w:gridCol w:w="775"/>
        <w:gridCol w:w="775"/>
        <w:gridCol w:w="775"/>
      </w:tblGrid>
      <w:tr>
        <w:tc>
          <w:tcPr>
            <w:tcW w:type="dxa" w:w="2872"/>
            <w:shd w:fill="EEF1F5" w:val="clear"/>
            <w:tcMar>
              <w:top w:type="dxa" w:w="50"/>
              <w:left w:type="dxa" w:w="90"/>
              <w:bottom w:type="dxa" w:w="50"/>
              <w:right w:type="dxa" w:w="90"/>
            </w:tcMar>
          </w:tcPr>
          <w:p>
            <w:r>
              <w:rPr>
                <w:b/>
                <w:bCs/>
                <w:sz w:val="19"/>
                <w:szCs w:val="19"/>
              </w:rPr>
              <w:t xml:space="preserve">Work package</w:t>
            </w:r>
          </w:p>
        </w:tc>
        <w:tc>
          <w:tcPr>
            <w:tcW w:type="dxa" w:w="775"/>
            <w:shd w:fill="EEF1F5" w:val="clear"/>
            <w:tcMar>
              <w:top w:type="dxa" w:w="50"/>
              <w:left w:type="dxa" w:w="90"/>
              <w:bottom w:type="dxa" w:w="50"/>
              <w:right w:type="dxa" w:w="90"/>
            </w:tcMar>
          </w:tcPr>
          <w:p>
            <w:r>
              <w:rPr>
                <w:b/>
                <w:bCs/>
                <w:sz w:val="19"/>
                <w:szCs w:val="19"/>
              </w:rPr>
              <w:t xml:space="preserve">Q1</w:t>
            </w:r>
          </w:p>
        </w:tc>
        <w:tc>
          <w:tcPr>
            <w:tcW w:type="dxa" w:w="775"/>
            <w:shd w:fill="EEF1F5" w:val="clear"/>
            <w:tcMar>
              <w:top w:type="dxa" w:w="50"/>
              <w:left w:type="dxa" w:w="90"/>
              <w:bottom w:type="dxa" w:w="50"/>
              <w:right w:type="dxa" w:w="90"/>
            </w:tcMar>
          </w:tcPr>
          <w:p>
            <w:r>
              <w:rPr>
                <w:b/>
                <w:bCs/>
                <w:sz w:val="19"/>
                <w:szCs w:val="19"/>
              </w:rPr>
              <w:t xml:space="preserve">Q2</w:t>
            </w:r>
          </w:p>
        </w:tc>
        <w:tc>
          <w:tcPr>
            <w:tcW w:type="dxa" w:w="775"/>
            <w:shd w:fill="EEF1F5" w:val="clear"/>
            <w:tcMar>
              <w:top w:type="dxa" w:w="50"/>
              <w:left w:type="dxa" w:w="90"/>
              <w:bottom w:type="dxa" w:w="50"/>
              <w:right w:type="dxa" w:w="90"/>
            </w:tcMar>
          </w:tcPr>
          <w:p>
            <w:r>
              <w:rPr>
                <w:b/>
                <w:bCs/>
                <w:sz w:val="19"/>
                <w:szCs w:val="19"/>
              </w:rPr>
              <w:t xml:space="preserve">Q3</w:t>
            </w:r>
          </w:p>
        </w:tc>
        <w:tc>
          <w:tcPr>
            <w:tcW w:type="dxa" w:w="775"/>
            <w:shd w:fill="EEF1F5" w:val="clear"/>
            <w:tcMar>
              <w:top w:type="dxa" w:w="50"/>
              <w:left w:type="dxa" w:w="90"/>
              <w:bottom w:type="dxa" w:w="50"/>
              <w:right w:type="dxa" w:w="90"/>
            </w:tcMar>
          </w:tcPr>
          <w:p>
            <w:r>
              <w:rPr>
                <w:b/>
                <w:bCs/>
                <w:sz w:val="19"/>
                <w:szCs w:val="19"/>
              </w:rPr>
              <w:t xml:space="preserve">Q4</w:t>
            </w:r>
          </w:p>
        </w:tc>
        <w:tc>
          <w:tcPr>
            <w:tcW w:type="dxa" w:w="775"/>
            <w:shd w:fill="EEF1F5" w:val="clear"/>
            <w:tcMar>
              <w:top w:type="dxa" w:w="50"/>
              <w:left w:type="dxa" w:w="90"/>
              <w:bottom w:type="dxa" w:w="50"/>
              <w:right w:type="dxa" w:w="90"/>
            </w:tcMar>
          </w:tcPr>
          <w:p>
            <w:r>
              <w:rPr>
                <w:b/>
                <w:bCs/>
                <w:sz w:val="19"/>
                <w:szCs w:val="19"/>
              </w:rPr>
              <w:t xml:space="preserve">Q5</w:t>
            </w:r>
          </w:p>
        </w:tc>
        <w:tc>
          <w:tcPr>
            <w:tcW w:type="dxa" w:w="775"/>
            <w:shd w:fill="EEF1F5" w:val="clear"/>
            <w:tcMar>
              <w:top w:type="dxa" w:w="50"/>
              <w:left w:type="dxa" w:w="90"/>
              <w:bottom w:type="dxa" w:w="50"/>
              <w:right w:type="dxa" w:w="90"/>
            </w:tcMar>
          </w:tcPr>
          <w:p>
            <w:r>
              <w:rPr>
                <w:b/>
                <w:bCs/>
                <w:sz w:val="19"/>
                <w:szCs w:val="19"/>
              </w:rPr>
              <w:t xml:space="preserve">Q6</w:t>
            </w:r>
          </w:p>
        </w:tc>
        <w:tc>
          <w:tcPr>
            <w:tcW w:type="dxa" w:w="775"/>
            <w:shd w:fill="EEF1F5" w:val="clear"/>
            <w:tcMar>
              <w:top w:type="dxa" w:w="50"/>
              <w:left w:type="dxa" w:w="90"/>
              <w:bottom w:type="dxa" w:w="50"/>
              <w:right w:type="dxa" w:w="90"/>
            </w:tcMar>
          </w:tcPr>
          <w:p>
            <w:r>
              <w:rPr>
                <w:b/>
                <w:bCs/>
                <w:sz w:val="19"/>
                <w:szCs w:val="19"/>
              </w:rPr>
              <w:t xml:space="preserve">Q7</w:t>
            </w:r>
          </w:p>
        </w:tc>
        <w:tc>
          <w:tcPr>
            <w:tcW w:type="dxa" w:w="775"/>
            <w:shd w:fill="EEF1F5" w:val="clear"/>
            <w:tcMar>
              <w:top w:type="dxa" w:w="50"/>
              <w:left w:type="dxa" w:w="90"/>
              <w:bottom w:type="dxa" w:w="50"/>
              <w:right w:type="dxa" w:w="90"/>
            </w:tcMar>
          </w:tcPr>
          <w:p>
            <w:r>
              <w:rPr>
                <w:b/>
                <w:bCs/>
                <w:sz w:val="19"/>
                <w:szCs w:val="19"/>
              </w:rPr>
              <w:t xml:space="preserve">Q8</w:t>
            </w:r>
          </w:p>
        </w:tc>
      </w:tr>
      <w:tr>
        <w:tc>
          <w:tcPr>
            <w:tcW w:type="dxa" w:w="2872"/>
            <w:tcMar>
              <w:top w:type="dxa" w:w="50"/>
              <w:left w:type="dxa" w:w="90"/>
              <w:bottom w:type="dxa" w:w="50"/>
              <w:right w:type="dxa" w:w="90"/>
            </w:tcMar>
          </w:tcPr>
          <w:p>
            <w:r>
              <w:rPr>
                <w:b w:val="false"/>
                <w:bCs w:val="false"/>
                <w:sz w:val="19"/>
                <w:szCs w:val="19"/>
              </w:rPr>
              <w:t xml:space="preserve">WP1 Synthesis + XAS descriptors</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WP2 Devices + switching statistics</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WP3 Correlation + operando + publication</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Germany on descriptor-based materials development for memristive oxides. The Walter Benjamin fellowship funds the 24-month stay; the DFG return module is used for reintegration into the German oxide-electronics environment (FZ Jülich/RWTH Aachen, JARA) and for submission of the Emmy Noether proposal – one continuous DFG track. The choice of YBCO is deliberately map-strategic: it adds the cuprate charge-transfer bonding class and a second structure family to the descriptor map – the decisive generalisation test for its predictive claim.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N. Nücker et al., Site-specific and doping-dependent electronic structure of YBa2Cu3Ox probed by O 1s and Cu 2p x-ray-absorption spectroscopy. Physical Review B 51, 8529 (1995). [verify page range before submission]</w:t>
      </w:r>
    </w:p>
    <w:p>
      <w:pPr>
        <w:spacing w:after="120"/>
      </w:pPr>
      <w:r>
        <w:rPr>
          <w:sz w:val="18"/>
          <w:szCs w:val="18"/>
        </w:rPr>
        <w:t xml:space="preserve">[10] M. Merz et al., Site-specific X-Ray Absorption Spectroscopy of Y1-xCaxBa2Cu3O7-y: Overdoping and Role of Apical Oxygen for High-Temperature Superconductivity. Physical Review Letters 80, 5192 (1998). [verify exact title before submission]</w:t>
      </w:r>
    </w:p>
    <w:p>
      <w:pPr>
        <w:spacing w:after="120"/>
      </w:pPr>
      <w:r>
        <w:rPr>
          <w:sz w:val="18"/>
          <w:szCs w:val="18"/>
        </w:rPr>
        <w:t xml:space="preserve">[11] C. Acha, M. J. Rozenberg, Non-volatile resistive switching in the dielectric superconductor YBa2Cu3O7-δ. Journal of Physics: Condensed Matter 21, 045702 (2009).</w:t>
      </w:r>
    </w:p>
    <w:p>
      <w:pPr>
        <w:spacing w:after="120"/>
      </w:pPr>
      <w:r>
        <w:rPr>
          <w:sz w:val="18"/>
          <w:szCs w:val="18"/>
        </w:rPr>
        <w:t xml:space="preserve">[12] Switching dynamics of oxygen-vacancy memristors based on cuprate superconductors. Applied Physics Letters 127, 241602 (2025). [complete author list before submission]</w:t>
      </w:r>
    </w:p>
    <w:p>
      <w:pPr>
        <w:spacing w:after="120"/>
      </w:pPr>
      <w:r>
        <w:rPr>
          <w:sz w:val="18"/>
          <w:szCs w:val="18"/>
        </w:rPr>
        <w:t xml:space="preserve">[13] Bipolar resistive switching in Au/YBa2Cu3O7-δ devices between 80 and 300 K. ACS Applied Electronic Materials (2025), DOI 10.1021/acsaelm.5c02017. [complete citation before submission]</w:t>
      </w:r>
    </w:p>
    <w:p>
      <w:pPr>
        <w:spacing w:after="120"/>
      </w:pPr>
      <w:r>
        <w:rPr>
          <w:sz w:val="18"/>
          <w:szCs w:val="18"/>
        </w:rPr>
        <w:t xml:space="preserve">[14] First-principles study of point defects in YBa2Cu3O7. Journal of Physics Communications 4 (2020), DOI 10.1088/2399-6528/abc9a7. [complete citation before submission]</w:t>
      </w:r>
    </w:p>
    <w:p>
      <w:pPr>
        <w:spacing w:after="120"/>
      </w:pPr>
      <w:r>
        <w:rPr>
          <w:sz w:val="18"/>
          <w:szCs w:val="18"/>
        </w:rPr>
        <w:t xml:space="preserve">[15] Site-dependent oxygen-vacancy formation energies in YBa2Cu3O6.5. Journal of Applied Physics 140, 055104. [verify citation before submission]</w:t>
      </w:r>
    </w:p>
    <w:p>
      <w:pPr>
        <w:spacing w:after="120"/>
      </w:pPr>
      <w:r>
        <w:rPr>
          <w:sz w:val="18"/>
          <w:szCs w:val="18"/>
        </w:rPr>
        <w:t xml:space="preserve">[16]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[17] F. Frati, M. O. J. Y. Hunault, F. M. F. de Groot, Oxygen K-edge X-ray Absorption Spectra. Chemical Reviews 120, 4056–4110 (2020).</w:t>
      </w:r>
    </w:p>
    <w:p>
      <w:pPr>
        <w:spacing w:after="120"/>
      </w:pPr>
      <w:r>
        <w:rPr>
          <w:sz w:val="18"/>
          <w:szCs w:val="18"/>
        </w:rPr>
        <w:t xml:space="preserve">[18]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[19]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[20]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[21] M. Wuttig et al., Revisiting the Nature of Chemical Bonding in Chalcogenides to Explain and Design their Properties. Advanced Materials 35, 2208485 (2023).</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Host confirmation from Prof. Chueh and statement of the German return host required; project description per DFG template.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2026-08-10T07:28:28.409Z</dcterms:created>
  <dcterms:modified xsi:type="dcterms:W3CDTF">2026-08-10T07:28:28.409Z</dcterms:modified>
</cp:coreProperties>
</file>

<file path=docProps/custom.xml><?xml version="1.0" encoding="utf-8"?>
<Properties xmlns="http://schemas.openxmlformats.org/officeDocument/2006/custom-properties" xmlns:vt="http://schemas.openxmlformats.org/officeDocument/2006/docPropsVTypes"/>
</file>